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RICHÁRD TIBOR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házszabályi rendelkezés értelmező gyakorlat, különös tekintettel a vizsgálóbizottságokkal kapcsolatos szabályozásra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Házszabályi rendelkezés értelmező gyakorlat, különös tekintettel, a vizsgálóbizottságokkal kapcsolatos szabályozásra megírása során célom volt e nagyon érdekes, ám sajnálatos módon kevésbé ismert jogterület bemutatása. A dolgozat ismerteti az Országgyűlésről szóló törvény és a Határozati házszabályi rendelkezések egymáshoz fűződő viszonyát. Vizsgálja az Országgyűlés Alkotmányügyi igazságügyi és ügyrendi bizottsága általános érvényű, és eseti jellegű állásfoglalásait, a megalkotásukhoz vezető folyamatot. Kitér az állásfoglalások helyére a jogrendszerben, azok jogforrási jellegére, azok korlátaira, valamint a Házszabályhoz fűződő viszonyukra.</w:t>
      </w:r>
      <w:r>
        <w:rPr>
          <w:color w:val="000000"/>
          <w:sz w:val="24"/>
          <w:szCs w:val="24"/>
        </w:rPr>
        <w:br/>
        <w:t xml:space="preserve">Az Alkotmányügyi bizottság állásfoglalásai összehasonlításra kerülnek az Alkotmánybíróság határozataival, és az Országos Választási Bizottság állásfoglalásaival.</w:t>
      </w:r>
      <w:r>
        <w:rPr>
          <w:color w:val="000000"/>
          <w:sz w:val="24"/>
          <w:szCs w:val="24"/>
        </w:rPr>
        <w:br/>
        <w:t xml:space="preserve">A magyar házszabályi rendelkezés értelmező gyakorlat, és a német Bundestagban folytatott házszabály értelmező gyakorlat is összehasonlításra kerül.</w:t>
      </w:r>
      <w:r>
        <w:rPr>
          <w:color w:val="000000"/>
          <w:sz w:val="24"/>
          <w:szCs w:val="24"/>
        </w:rPr>
        <w:br/>
        <w:t xml:space="preserve">A dolgozat ismereti a vizsgálóbizottságokkal kapcsolatos szabályozás alapjait, kitér az 50/2003 Ab. határozatra, mely határozat miatt az Országgyűlésről szóló törvény megalkotására már 2003-ban felmerült az igény. A dolgozat részletesen foglalkozik az Alkotmányügyi Bizottság vizsgálóbizottságokkal kapcsolatos házszabályi rendelkezés értelmező gyakorlatával, alkotmányossági szempontjából vizsgálva azokat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38273">
    <w:multiLevelType w:val="hybridMultilevel"/>
    <w:lvl w:ilvl="0" w:tplc="42150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38273">
    <w:abstractNumId w:val="71738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377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