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SZAKÁCS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Szabó</w:t>
            </w:r>
          </w:p>
          <w:p w:rsidR="00DB4822" w:rsidRDefault="00DB4822" w:rsidP="00E11062">
            <w:pPr>
              <w:pStyle w:val="Konzulensek"/>
            </w:pPr>
            <w:r w:rsidRPr="00DB4822">
              <w:t>professor’s assistant,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Interpretative practice of the provisions of the Standing Orders of the Parliament, with special regard to regulations about examination committees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preparation of my paper “Interpretative practice of the provisions of the Standing Orders of the Parliament, with special regard to regulations about examination committees” my aim was to introduce this very exciting, but somehow unfortunately often neglected field of law. The paper describes the relationship between the provisions of the act on the Parliament and the Standing orders of the Parliament. It examines the general and ad hoc statements of the Committee on Constitutional, Legislative and Judicial Matters, and the process leading to their delivery. It touches upon the status of these statements in the legal system, upon their features as sources of law, their limits and their relationship with the Standing orders of the Parliament.</w:t>
      </w:r>
      <w:r>
        <w:rPr>
          <w:color w:val="000000"/>
          <w:sz w:val="24"/>
          <w:szCs w:val="24"/>
        </w:rPr>
        <w:br/>
        <w:t xml:space="preserve">The statements of the Committee on Constitutional, Legislative and Judicial Matters are compared with the decisions of the Constitutional Court and the statements of the National Election Committee.</w:t>
      </w:r>
      <w:r>
        <w:rPr>
          <w:color w:val="000000"/>
          <w:sz w:val="24"/>
          <w:szCs w:val="24"/>
        </w:rPr>
        <w:br/>
        <w:t xml:space="preserve">The Hungarian practice interpreting the Standing orders of the Parliament is compared with the practice interpreting the standing orders in the German Bundestag.</w:t>
      </w:r>
      <w:r>
        <w:rPr>
          <w:color w:val="000000"/>
          <w:sz w:val="24"/>
          <w:szCs w:val="24"/>
        </w:rPr>
        <w:br/>
        <w:t xml:space="preserve">The paper presents the foundations of the regulations regarding examination committees, touches upon Decision 50/2003 AB of the Constitutional Court, due to which there has been a need for enacting an act on the Parliament since 2003. The paper deals in details with the interpretation practice of the Committee on Constitutional, Legislative and Judicial Matters regarding the regulations of the Standing orders on examination committees, examining this from constitutional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93558">
    <w:multiLevelType w:val="hybridMultilevel"/>
    <w:lvl w:ilvl="0" w:tplc="88441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93558">
    <w:abstractNumId w:val="80093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7512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