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FÜLÖP</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Osztovits</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Certain questions of the temporal effect of decisions made in preliminary ruling procedures</w:t>
      </w:r>
    </w:p>
    <w:p w:rsidR="00D71DF5" w:rsidRDefault="00D71DF5" w:rsidP="00AD2602">
      <w:pPr>
        <w:jc w:val="both"/>
      </w:pPr>
    </w:p>
    <w:p>
      <w:pPr>
        <w:pBdr/>
        <w:spacing w:before="240" w:after="240" w:line="240" w:lineRule="auto"/>
        <w:ind w:left="0" w:right="0"/>
        <w:jc w:val="left"/>
      </w:pPr>
      <w:r>
        <w:rPr>
          <w:color w:val="000000"/>
          <w:sz w:val="24"/>
          <w:szCs w:val="24"/>
        </w:rPr>
        <w:t xml:space="preserve">The national courts form the part of a European judicial system that is beginning to take shape, as the legal regulations of the European law are applied in front of them as well. As a consequence it is important to ensure and perform the requirements of the common application and interpretation.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It is no exaggeration to say that the preliminary ruling procedure is given priority in the current legal protection system of the European Union. Counted from the foundation of the European Communities up to the present, the national courts are given the right to turn to the European Court of Justice ( hereinafter: ECJ) and ask for advice only within the framework of this procedure. It is also important to note, that the ECJ seated in Luxembourg made its decisions affecting the European law the most significantly within the framework of the preliminary ruling procedure.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Unfortunately the temporal effect of the decisions made in preliminary ruling procedures are not well-known and researched yet. The basic problem can be summarized easily: if the ECJ determines the right meaning of an EU law that entered into effect earlier - referring to this fact- the legal entities may have the right to contest legal disputes that had been decided finally by the national courts and authorities. Compared to this, we can find a much clear practice if we take into consideration that case, when ECJ investigates the validity of secondary EU laws within the framework of the preliminary ruling procedure. In contrast to professional viewpoints, in my opinion based on the relating judgements of ECJ we can bravely state that even these decisions cannot have erga omnes effect. The ECJ treats the temporal effect of these judgements in different ways.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was trying to make an attempt to reveal the sources of practical and theoretical problems concerning to the temporal effect of the preliminary ruling.In order to take a closer look, - after giving a short, general introduction about this legal institution- I made a difference between judgements that interpret the EU laws and judgements that declares the EU laws to be void.This question has a huge importance in practice, as legal entites may be interested in the temporal effect of a judgement. If those judgements have retroactive effects, as a consequence the legaly entities may contest legal diputes that are closed and came into effect in front of their national courts and authorities.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31466">
    <w:multiLevelType w:val="hybridMultilevel"/>
    <w:lvl w:ilvl="0" w:tplc="83907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31466">
    <w:abstractNumId w:val="115314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074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