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ARATÓ ALÍZ</w:t>
            </w:r>
          </w:p>
          <w:p w:rsidR="00C275A3" w:rsidRDefault="00A96AEC" w:rsidP="00C275A3">
            <w:pPr>
              <w:pStyle w:val="Hallgatokepzes"/>
            </w:pPr>
            <w:r>
              <w:t>Közigazgatási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Közigazgatás-tudományi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Jószai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kreatív iparágak fejlesztésének közigazgatási kihívásai, különös tekintettel Budapest térségére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kreatív iparágak fejlesztésének közigazgatási kihívásai, különös tekintettel Budapest térségére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lényegi részét képező kapcsolat, az újonnan megjelenő kreatív iparágak és a közigazgatás között, számos érdekes tézist vet fel. A kreatív iparágak kimutatott gazdasági eredményei nagyobb figyelmet érdemelnek. A pozitív gazdasági kimutatások mellett a kreatív iparágak más területeken is jövedelmező „befektetésnek” tekinthetőek. Többek között a közigazgatás területén bírhat fejlesztő hatással.</w:t>
      </w:r>
      <w:r>
        <w:rPr>
          <w:color w:val="000000"/>
          <w:sz w:val="24"/>
          <w:szCs w:val="24"/>
        </w:rPr>
        <w:br/>
        <w:t xml:space="preserve">A kreatív iparágak közé sorolt olyan ágak, mint az infokommunikációs vagy a multimédia közigazgatásban történő alkalmazása jelentős előrelépést jelenthet a közigazgatási ügyintézés modernizálásában. Ez az elgondolás olyan lehetőségekkel járna, mint az adminisztratív terhek csökkentése, a bürokrácia visszaszorítása. Véleményem szerint a kreatív gazdaság igazgatására nagyobb hangsúlyt kell helyezni. Ezért a kreatív iparágaknak meg kell jelenniük közigazgatás szervezetrendszerében, mégpedig egységes formában. Kiemelten fontosnak tartom az uniós pályázati források lebonyolításával foglalkozó intézmények szervezetrendszerében, külön egy a kreatív projektek feldolgozását végző szerv létrehozását. Ez lenne a megoldás arra, hogy az uniós források minél nagyobb hányada a kreatív gazdaságban kerüljön felhasználásra. Ezen kívül a jövőben lehetőség nyílna egy körzetközpontos, költséghatékony közigazgatás kialakítására, amely a kreatív megoldások és ügyintézési módok közigazgatásba való átültetésével valósulhatna meg.</w:t>
      </w:r>
      <w:r>
        <w:rPr>
          <w:color w:val="000000"/>
          <w:sz w:val="24"/>
          <w:szCs w:val="24"/>
        </w:rPr>
        <w:br/>
        <w:t xml:space="preserve">A kreatív iparágak és a közigazgatás közti kapcsolat másik oldalát vizsgálva pedig elmondhatjuk, hogy a közigazgatásnak- a saját érdekét is szem előtt tartva - fel kell vállalnia a kreatív gazdaság támogatását és egyben igazgatását. Erre számos eszköze van, amelyeket dolgozatom során részletesen is kifejtek. A legfontosabbak talán, egy a hazai forráson alapuló kreatív alap létrehozása, a kreatív kis- és középvállalkozások finanszírozásának segítése, a kreatív tőke szinten tartása különféle szakképzési és átképzési programok indításával.</w:t>
      </w:r>
      <w:r>
        <w:rPr>
          <w:color w:val="000000"/>
          <w:sz w:val="24"/>
          <w:szCs w:val="24"/>
        </w:rPr>
        <w:br/>
        <w:t xml:space="preserve">Összességében azt állapíthatjuk meg, hogy a közigazgatás és a kreatív iparágak között egy kétirányú, kölcsönösen előnyös kapcsolat van, amelyben a közigazgatásnak számos kihívással kell szembenéznie, hogy a jövőben egyfajta minta kreatív gazdaság keretein belül kihasználhassa mindazokat az előnyöket, amelyeket dolgozatomban kifejtettem.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94930">
    <w:multiLevelType w:val="hybridMultilevel"/>
    <w:lvl w:ilvl="0" w:tplc="86362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94930">
    <w:abstractNumId w:val="420949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7621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