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LUCA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Téglási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NKE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Bernát</w:t>
            </w:r>
          </w:p>
          <w:p w:rsidR="00DB4822" w:rsidRDefault="00DB4822" w:rsidP="00E11062">
            <w:pPr>
              <w:pStyle w:val="Konzulensek"/>
            </w:pPr>
            <w:r w:rsidRPr="00DB4822">
              <w:t>tanácsadó (AB),  Alkotmánybíróság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Méltóság versus vélemény 1:1? - Az emberi méltósághoz való jog és a véleménynyilvánítás szabadságának ütközése a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oka is van annak, hogy erről írtam dolgozatomat. Az egyik, hogy a mai napig olyan, érdeklődésre számot tartó témákkal foglalkozik, mint az emberi méltósághoz és a véleménynyilvánítás szabadságához való jogunk, melyek mindenkit egyaránt érintenek. Különösen aktuális témák, hiszen az információs társadalom egyik „vívmánya”, a hihetetlen sebességgel terjedő információk, vélemények és közlések, még érzékenyebbé teszi napjaink emberét a véleménynyilvánítás és sajtó szabadságára. Másik oldalról pontosan ez a szabadság az, ami rávilágít az emberi méltósághoz való jog védelmének fontosságára is.</w:t>
      </w:r>
      <w:r>
        <w:rPr>
          <w:color w:val="000000"/>
          <w:sz w:val="24"/>
          <w:szCs w:val="24"/>
        </w:rPr>
        <w:br/>
        <w:t xml:space="preserve">A főcím modalitásából következik, hogy dolgozatom nem csupán leíró jellegű. Középpontjában egy kérdés van: a média működésében, az egyes médiumok platformjain vajon merre dől el a mérleg nyelve; a méltósághoz való jog, vagy a véleménynyilvánítás szabadsága az előrébb való? Melyik tud inkább érvényesülni és melyiknek kellene?</w:t>
      </w:r>
      <w:r>
        <w:rPr>
          <w:color w:val="000000"/>
          <w:sz w:val="24"/>
          <w:szCs w:val="24"/>
        </w:rPr>
        <w:br/>
        <w:t xml:space="preserve">Bár a dolgozat megírásával közelebb jutottam a feltett kérdés megválaszolásához, azt kell mondanom, egyértelmű válasz nem létezik. A média működését tekintve nem lehet eredményt hirdetni. Sőt még részeredményt sem, hiszen a „meccsnek” még közel sincs vége. Globális, makro szinten tehát eredmény nincs. Ha az egyedi eseteket nézzük, van. Ezek – szituációtól és környezetüktől függően – változó kimenetelűek: van, hogy egyértelmű ki a „győztes”, tehát hogy melyik alapjog érvényesülése a védendő. Van, hogy az eredmény „1:1”, vagy éppen „0:0”.</w:t>
      </w:r>
      <w:r>
        <w:rPr>
          <w:color w:val="000000"/>
          <w:sz w:val="24"/>
          <w:szCs w:val="24"/>
        </w:rPr>
        <w:br/>
        <w:t xml:space="preserve">Hogy a tényleges végeredmény mi lesz, szerintem megjósolhatatlan. Már önmagában az is bonyolult kérdés, hogy kitől várjuk azt a keretrendszert, ami konkrétan megállapítja a szabályokat és megmondja, hogy milyen esetben mi a korrekt megoldás.</w:t>
      </w:r>
      <w:r>
        <w:rPr>
          <w:color w:val="000000"/>
          <w:sz w:val="24"/>
          <w:szCs w:val="24"/>
        </w:rPr>
        <w:br/>
        <w:t xml:space="preserve">Véleményem szerint a végeredményre még várni kell. És hogy mi is lesz a végeredmény? Most senki sem tudja. Az ellentét feloldására, az állás eldöntésére, mint már említettem, két lehetséges mód van. Vagy a jogalkotók és az alkotmánybírák alakítanak ki egy olyan részletes szabályozását és joggyakorlatot, amelyben egyértelműen eldönthetőek a jogviták; vagy a társadalomban alakul ki egy olyan kollektív és biztos tudat ezzel a kérdéssel kapcsolatban, amely determinálja a konfliktusok feloldását. Az első megoldás, ha el is képzelhető, még odébb van. A második megoldásra várni pedig – a társadalomban élő, az azt alkotó gondolkodásmódok különbségéből fakadóan – talán túl optimista hozzáállás lenne.</w:t>
      </w:r>
      <w:r>
        <w:rPr>
          <w:color w:val="000000"/>
          <w:sz w:val="24"/>
          <w:szCs w:val="24"/>
        </w:rPr>
        <w:br/>
        <w:t xml:space="preserve">Függetlenül attól, hogy végleges válasszal a dolgozat nem szolgál, szeretném, ha olvasása lenne akkora élmény, mint az elkészítése volt. Remélem nem csak egy leíró jellegű, hanem gondolatébresztő írásként is megmarad annak az emlékezetében, aki kezébe veszi.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28536">
    <w:multiLevelType w:val="hybridMultilevel"/>
    <w:lvl w:ilvl="0" w:tplc="34313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28536">
    <w:abstractNumId w:val="43528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923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