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LUCA BOROS</w:t>
            </w:r>
          </w:p>
          <w:p w:rsidR="00C275A3" w:rsidRDefault="00A96AEC" w:rsidP="00C275A3">
            <w:pPr>
              <w:pStyle w:val="Hallgatokepzes"/>
            </w:pPr>
            <w:r>
              <w:t>Public Administration</w:t>
            </w:r>
            <w:r>
              <w:br/>
            </w:r>
            <w:r w:rsidR="00E77B23">
              <w:t>BA, 5. semester</w:t>
            </w:r>
          </w:p>
          <w:p w:rsidR="00C265CE" w:rsidRPr="009E5FF1" w:rsidRDefault="00E77B23" w:rsidP="00C275A3">
            <w:pPr>
              <w:pStyle w:val="Hallgatokepzes"/>
              <w:rPr>
                <w:b/>
                <w:caps/>
              </w:rPr>
            </w:pPr>
            <w:r>
              <w:t>National University of Public Service</w:t>
            </w:r>
            <w:r w:rsidR="00C275A3">
              <w:br/>
            </w:r>
            <w:r w:rsidR="00DB4822">
              <w:t>Faculty of Public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András Téglási, JD</w:t>
            </w:r>
          </w:p>
          <w:p w:rsidR="00DB4822" w:rsidRDefault="00DB4822" w:rsidP="00E11062">
            <w:pPr>
              <w:pStyle w:val="Konzulensek"/>
            </w:pPr>
            <w:r w:rsidRPr="00DB4822">
              <w:t>assistant professor, NKE KTK</w:t>
            </w:r>
          </w:p>
        </w:tc>
      </w:tr>
      <w:tr w:rsidR="00DB4822" w:rsidTr="00DB4822">
        <w:tc>
          <w:tcPr>
            <w:tcW w:w="9854" w:type="dxa"/>
          </w:tcPr>
          <w:p w:rsidR="00DB4822" w:rsidRPr="00DB4822" w:rsidRDefault="00DB4822" w:rsidP="004D7940">
            <w:pPr>
              <w:pStyle w:val="Konzulensek"/>
            </w:pPr>
            <w:r w:rsidRPr="00DB4822">
              <w:t>Bernát Török, JD</w:t>
            </w:r>
          </w:p>
          <w:p w:rsidR="00DB4822" w:rsidRDefault="00DB4822" w:rsidP="00E11062">
            <w:pPr>
              <w:pStyle w:val="Konzulensek"/>
            </w:pPr>
            <w:r w:rsidRPr="00DB4822">
              <w:t>counselor,  The Constitutional Court of Hungary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Dignity versus expression 1:1? - The collision of the right to human dignity and the freedom of expression in the media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There are several reasons that I wrote about this topic. One of these reasons that it’s dealing with issues which affect everyone: the right to human dignity and to the freedom of expression. In particular, current topics, since most of the information society "achievements", the incredible speed of information, opinions and statements make people more sensitive to their freedom of expression and freedom of press. The other side is exactly this freedom, which highlights the importance of the protection of the right to human dignity.</w:t>
      </w:r>
      <w:r>
        <w:rPr>
          <w:color w:val="000000"/>
          <w:sz w:val="24"/>
          <w:szCs w:val="24"/>
        </w:rPr>
        <w:br/>
        <w:t xml:space="preserve">The title implies that my paper is not merely descriptive. At the heart there is a question. During the operation of the media which is the superior: the right to the human dignity or to the freedom of expression? Which can be and should be rather contained therein?</w:t>
      </w:r>
      <w:r>
        <w:rPr>
          <w:color w:val="000000"/>
          <w:sz w:val="24"/>
          <w:szCs w:val="24"/>
        </w:rPr>
        <w:br/>
        <w:t xml:space="preserve">Although with the essay I got closer to the answer of my question, I have to say, there is no clear answer. In terms of the functioning of the media we can not announce any result. There is no even partial result either because the "match" is not even close to over. So there is no result on a global or macro level. Only if you look at the individual cases, there is a result. Depending on the context and situation there can be variable outcomes: can be a situation where you have to clear out the "winner", so you can tell what fundamental right need to be protected by the law. And there can be cases when the result is "1: 1" or "0: 0".</w:t>
      </w:r>
      <w:r>
        <w:rPr>
          <w:color w:val="000000"/>
          <w:sz w:val="24"/>
          <w:szCs w:val="24"/>
        </w:rPr>
        <w:br/>
        <w:t xml:space="preserve">What will be the actual outcome, I think it's unpredictable. It’s a complicated question by itself, who are we looking forward to the framework from? The framework which specifically sets out the rules and tells you what is the correct solution.</w:t>
      </w:r>
      <w:r>
        <w:rPr>
          <w:color w:val="000000"/>
          <w:sz w:val="24"/>
          <w:szCs w:val="24"/>
        </w:rPr>
        <w:br/>
        <w:t xml:space="preserve">In my opinion, the result must still wait. And what is going to be the final result? Now, no one knows. To dissolve the contrast, as I have already mentioned, there are two possible methods. One is that the legislators and the judges of the Constitutional Court developed a detailed regulation and jurisprudence, in which the legal disputes can be decided; or the society develops a collective and sure consciousness on this issue which determines the resolving of the problems. The first solution, if it were possible, even further away. Waiting to the second solution perhaps too optimistic attitude because of the different ways of thinking in the society.</w:t>
      </w:r>
      <w:r>
        <w:rPr>
          <w:color w:val="000000"/>
          <w:sz w:val="24"/>
          <w:szCs w:val="24"/>
        </w:rPr>
        <w:br/>
        <w:t xml:space="preserve">I hope this writing remains not just a descriptive, but also thought-provoking writing to the memory who take it hand.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662854">
    <w:multiLevelType w:val="hybridMultilevel"/>
    <w:lvl w:ilvl="0" w:tplc="57566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662854">
    <w:abstractNumId w:val="126628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6436550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