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ÉLŐ</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Cserny</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planning and management of the parliamentary elections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Every elector possesses the choice : Who will they leave the wield of public authority for? Democracy is based on universal suffrage, as realized through the principle of the sovereignty of people. The institutionalization of popular sovereignty is realized through the parliamentary elections.</w:t>
      </w:r>
      <w:r>
        <w:rPr>
          <w:color w:val="000000"/>
          <w:sz w:val="24"/>
          <w:szCs w:val="24"/>
        </w:rPr>
        <w:br/>
        <w:t xml:space="preserve">The duty of the country's government is to manage its goods rationally, and to enforce the same through the electoral system.</w:t>
      </w:r>
      <w:r>
        <w:rPr>
          <w:color w:val="000000"/>
          <w:sz w:val="24"/>
          <w:szCs w:val="24"/>
        </w:rPr>
        <w:br/>
        <w:t xml:space="preserve">In this study I will represent how all the aforementioned apply to the last 6 elections, and how the elections' financial planning have transformed.</w:t>
      </w:r>
    </w:p>
    <w:p>
      <w:pPr>
        <w:pBdr/>
        <w:spacing w:before="240" w:after="240" w:line="240" w:lineRule="auto"/>
        <w:ind w:left="0" w:right="0"/>
        <w:jc w:val="left"/>
      </w:pPr>
      <w:r>
        <w:rPr>
          <w:color w:val="000000"/>
          <w:sz w:val="24"/>
          <w:szCs w:val="24"/>
        </w:rPr>
        <w:br/>
        <w:t xml:space="preserve">In 2012 a new electoral system had been developed, but we do not know its consequences until it will be applied the first time, in 2014. I do think it is worth reviewing the recent systems and methods. What is the path that led us here, and what are the lessons to be learned from the last six cycles?</w:t>
      </w:r>
    </w:p>
    <w:p>
      <w:pPr>
        <w:pBdr/>
        <w:spacing w:before="240" w:after="240" w:line="240" w:lineRule="auto"/>
        <w:ind w:left="0" w:right="0"/>
        <w:jc w:val="left"/>
      </w:pPr>
      <w:r>
        <w:rPr>
          <w:color w:val="000000"/>
          <w:sz w:val="24"/>
          <w:szCs w:val="24"/>
        </w:rPr>
        <w:br/>
        <w:t xml:space="preserve">In my opinion it is the best time to take a look at the financial experiences, gathering the facts and highlight all the important changes taken place over these years. This can help us understanding what made the decision-makers to take steps towards the establishment of a new system.</w:t>
      </w:r>
    </w:p>
    <w:p>
      <w:pPr>
        <w:pBdr/>
        <w:spacing w:before="240" w:after="240" w:line="240" w:lineRule="auto"/>
        <w:ind w:left="0" w:right="0"/>
        <w:jc w:val="left"/>
      </w:pPr>
      <w:r>
        <w:rPr>
          <w:color w:val="000000"/>
          <w:sz w:val="24"/>
          <w:szCs w:val="24"/>
        </w:rPr>
        <w:br/>
        <w:t xml:space="preserve">In this study I will investigate this topic through the 20 years from the end of the communist regime in 1990 to the present time. I will detail the elapsed time and after a historical overview, I will underline the processes occured and corroborate them with the statistics. My work is based on the examination of the data collected and stored by the State Audit Office of Hungary about parliamentary elections' accounting.</w:t>
      </w:r>
    </w:p>
    <w:p>
      <w:pPr>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1468800" cy="914400"/>
            <wp:docPr id="59027235" name="name150be93bc72eaf" descr="imgtmp_21149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149_int_1.jpg"/>
                    <pic:cNvPicPr/>
                  </pic:nvPicPr>
                  <pic:blipFill>
                    <a:blip r:embed="rId150be93bc72e71" cstate="print"/>
                    <a:stretch>
                      <a:fillRect/>
                    </a:stretch>
                  </pic:blipFill>
                  <pic:spPr>
                    <a:xfrm>
                      <a:off x="0" y="0"/>
                      <a:ext cx="1468800" cy="9144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67732">
    <w:multiLevelType w:val="hybridMultilevel"/>
    <w:lvl w:ilvl="0" w:tplc="42827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67732">
    <w:abstractNumId w:val="72167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4532810" Type="http://schemas.openxmlformats.org/officeDocument/2006/relationships/numbering" Target="numbering.xml"/><Relationship Id="rId150be93bc72e71" Type="http://schemas.openxmlformats.org/officeDocument/2006/relationships/image" Target="media/imgrId150be93bc72e7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