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HORVÁTH</w:t>
            </w:r>
          </w:p>
          <w:p w:rsidR="00C275A3" w:rsidRDefault="00A96AEC" w:rsidP="00C275A3">
            <w:pPr>
              <w:pStyle w:val="Hallgatokepzes"/>
            </w:pPr>
            <w:r>
              <w:t>Public 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Téglási</w:t>
            </w:r>
          </w:p>
          <w:p w:rsidR="00DB4822" w:rsidRDefault="00DB4822" w:rsidP="00E11062">
            <w:pPr>
              <w:pStyle w:val="Konzulensek"/>
            </w:pPr>
            <w:r w:rsidRPr="00DB4822">
              <w:t>assistant professor, NKE KTK</w:t>
            </w:r>
          </w:p>
        </w:tc>
      </w:tr>
      <w:tr w:rsidR="00DB4822" w:rsidTr="00DB4822">
        <w:tc>
          <w:tcPr>
            <w:tcW w:w="9854" w:type="dxa"/>
          </w:tcPr>
          <w:p w:rsidR="00DB4822" w:rsidRPr="00DB4822" w:rsidRDefault="00DB4822" w:rsidP="004D7940">
            <w:pPr>
              <w:pStyle w:val="Konzulensek"/>
            </w:pPr>
            <w:r w:rsidRPr="00DB4822">
              <w:t>Dr. Zoltán J. Tóth</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Thoughts about the punitive power of constitutional limitations of the state, particularly the freedom of deliverance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am going to find the answer for how far the state could go in the use of its penal power, how it could restrict the freedom of deliverance, so that to confine offensive diatribe in some degree.</w:t>
      </w:r>
    </w:p>
    <w:p>
      <w:pPr>
        <w:pBdr/>
        <w:spacing w:before="240" w:after="240" w:line="240" w:lineRule="auto"/>
        <w:ind w:left="0" w:right="0"/>
        <w:jc w:val="left"/>
      </w:pPr>
      <w:r>
        <w:rPr>
          <w:color w:val="000000"/>
          <w:sz w:val="24"/>
          <w:szCs w:val="24"/>
        </w:rPr>
        <w:t xml:space="preserve">I put the regulations of the Constitutional Court in the topic of hate speech to use as the root of the study. These decisions were built on our previous Constitution. However in the recent past the Constitutional Court put down important items about the use of previous decisions, namely that the decisions of the Constitutional Court based on the Constitution are normative in the decisions based on the Basic Law as well.</w:t>
      </w:r>
    </w:p>
    <w:p>
      <w:pPr>
        <w:pBdr/>
        <w:spacing w:before="240" w:after="240" w:line="240" w:lineRule="auto"/>
        <w:ind w:left="0" w:right="0"/>
        <w:jc w:val="left"/>
      </w:pPr>
      <w:r>
        <w:rPr>
          <w:color w:val="000000"/>
          <w:sz w:val="24"/>
          <w:szCs w:val="24"/>
        </w:rPr>
        <w:t xml:space="preserve">The right to deliverance stands in a laureate place in the catalogue of Basic Law. The Constitutional Court explained that the freedom of deliverance is functioning as the matriarch law of the communication basic law, from which it is available to create a socially expected and acceptable conception by contrasting the harmful and constructive ideas, opinions. But this can only be true, if the two sides in the communication have the balance of forces while conferring with each other. That is why we cannot always proceed from the illimitability of communication basic laws, because their limits are given by the answer to the question of until what limit the size of one’s freedom is verifiable, and where that point is, when the practice of this law extremely offend others in the dignity of their human beings.</w:t>
      </w:r>
    </w:p>
    <w:p>
      <w:pPr>
        <w:pBdr/>
        <w:spacing w:before="240" w:after="240" w:line="240" w:lineRule="auto"/>
        <w:ind w:left="0" w:right="0"/>
        <w:jc w:val="left"/>
      </w:pPr>
      <w:r>
        <w:rPr>
          <w:color w:val="000000"/>
          <w:sz w:val="24"/>
          <w:szCs w:val="24"/>
        </w:rPr>
        <w:t xml:space="preserve">It should be pointed out that the legislator should not restrict the communication basic law in itself when creating the regulation, but a sanction is needed against the misuse practice of it to ensure that the perpetrator cannot hide behind any basic law, when committing a socially reprehensible, ostentatiously anti-community deed.</w:t>
      </w:r>
    </w:p>
    <w:p>
      <w:pPr>
        <w:pBdr/>
        <w:spacing w:before="240" w:after="240" w:line="240" w:lineRule="auto"/>
        <w:ind w:left="0" w:right="0"/>
        <w:jc w:val="left"/>
      </w:pPr>
      <w:r>
        <w:rPr>
          <w:color w:val="000000"/>
          <w:sz w:val="24"/>
          <w:szCs w:val="24"/>
        </w:rPr>
        <w:t xml:space="preserve">Many variances can be found among the commitments of the syndicate. First, it states that the dignity of community can be the limit to the freedom of opinion, so it is not impossible that the creator of the right, beyond the instigation to hate, provides criminal defence. Another time, it stands for that cases moderate than instigation and actions that do not include calls for violent deeds and do not restrict the liberty of speech are unconstitutional. Neither of the regulations about this topic includes references to show how these oppositions could be resolved.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72970">
    <w:multiLevelType w:val="hybridMultilevel"/>
    <w:lvl w:ilvl="0" w:tplc="76866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72970">
    <w:abstractNumId w:val="97072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8511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