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KOVACS</w:t>
            </w:r>
          </w:p>
          <w:p w:rsidR="00C275A3" w:rsidRDefault="00A96AEC" w:rsidP="00C275A3">
            <w:pPr>
              <w:pStyle w:val="Hallgatokepzes"/>
            </w:pPr>
            <w:r>
              <w:t>Public Administration</w:t>
            </w:r>
            <w:r>
              <w:br/>
            </w:r>
            <w:r w:rsidR="00E77B23">
              <w:t>MA, 9.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Balazs Budai</w:t>
            </w:r>
          </w:p>
          <w:p w:rsidR="00DB4822" w:rsidRDefault="00DB4822" w:rsidP="00E11062">
            <w:pPr>
              <w:pStyle w:val="Konzulensek"/>
            </w:pPr>
            <w:r w:rsidRPr="00DB4822">
              <w:t>associate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possibilities of mobile applications in local public administration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focuses on the possibilities for mobile administration. This paper aims to present an innovative mobile governance idea, with an emphasis placed on opportunities and proposals. I chose this topic because the mobile devices, specifically smart phones have increased in popularity, the main reasons included the development of information and communication technologies and devices with great potential.</w:t>
      </w:r>
    </w:p>
    <w:p>
      <w:pPr>
        <w:widowControl w:val="on"/>
        <w:pBdr/>
        <w:spacing w:before="240" w:after="240" w:line="240" w:lineRule="auto"/>
        <w:ind w:left="0" w:right="0"/>
        <w:jc w:val="left"/>
      </w:pPr>
      <w:r>
        <w:rPr>
          <w:color w:val="000000"/>
          <w:sz w:val="24"/>
          <w:szCs w:val="24"/>
        </w:rPr>
        <w:t xml:space="preserve">As the Hungarian mobile governance literature is a lack of studies, so my work is designed to complement. The SMS-based processes topics explained in more detail, but the topic of new devices are less developed. The new devices, especially smartphones means a kind of evolutionary development in the local public administration. Seeing the latest international trends and considering the spread of smart phones, the user activity may rise the in the local public administrations.</w:t>
      </w:r>
    </w:p>
    <w:p>
      <w:pPr>
        <w:widowControl w:val="on"/>
        <w:pBdr/>
        <w:spacing w:before="240" w:after="240" w:line="240" w:lineRule="auto"/>
        <w:ind w:left="0" w:right="0"/>
        <w:jc w:val="left"/>
      </w:pPr>
      <w:r>
        <w:rPr>
          <w:color w:val="000000"/>
          <w:sz w:val="24"/>
          <w:szCs w:val="24"/>
        </w:rPr>
        <w:t xml:space="preserve">The basic question is whether there is a room for maneuver in the EU and national strategies and regulations or not. The OTDK-thesis aims the presentation of the channel’s characteristics and the examination of the hungarian laws, and finally to show, that involving smart phones would be a great choice.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91924">
    <w:multiLevelType w:val="hybridMultilevel"/>
    <w:lvl w:ilvl="0" w:tplc="54425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91924">
    <w:abstractNumId w:val="101919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5423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