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AMALIA NEP</w:t>
            </w:r>
          </w:p>
          <w:p w:rsidR="00C275A3" w:rsidRDefault="00A96AEC" w:rsidP="00C275A3">
            <w:pPr>
              <w:pStyle w:val="Hallgatokepzes"/>
            </w:pPr>
            <w:r>
              <w:t>international administration manager</w:t>
            </w:r>
            <w:r>
              <w:br/>
            </w:r>
            <w:r w:rsidR="00E77B23">
              <w:t>BA, 3.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Agoston Korom</w:t>
            </w:r>
          </w:p>
          <w:p w:rsidR="00DB4822" w:rsidRDefault="00DB4822" w:rsidP="00E11062">
            <w:pPr>
              <w:pStyle w:val="Konzulensek"/>
            </w:pPr>
            <w:r w:rsidRPr="00DB4822">
              <w:t>professor’s assistant,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land policy latitude of member states in view of common law- The land policy latitude of Hungary during and after the moratorium period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Hungary has joint the EU in 2004. The accession agreement contains a provision which guarantees a temporary, derogatory term for Hungary. During this term – which is also called moratorium period – any foreign citizen can’t acquire the propietorship of the hungarian soil. The objective of my essay is the presentation of land policy latitude in Hungary. On the other hand I would like to study the opportunities which will wait for us after the derogatory term in the system of land tenure. The aim of the integration to conduce to the free movement of factors of production and to cutback those factors which threaten this. The public policy of the EU is not always check up with the public policy of certain member states. The main function of the Court of Justice of the EU to guarantee the domination of law. I would like to present two case in the case-law of Court of Justice which have a large effect on the land policy. These are the Uwe Kay Festersen-case (C-370/05. sentence) and the Margarethe Ospelt-case (C-452/01. sentence). In reference to the Ospelt-case the Court of Justice examined the compatibility of prior administrative approval based system with common law. In reference to the Festersen-case the Court of Justice examined the compatibility of using subsequent sanctions in land policy with common law. Both sentence could be decesive regarding the judgement of the new hungarian land law which is now still just a bill. The most important factors in point of the hungarian land tenure are the good quality and the relatively low price of the soil. On the other hand the process of land consolidation hasn’t finished yet, namely a dual structure of land has been formed in different phases of land regulation and this status hasn’t been redessed effectively yet. In my opinion it is really important to examine the new land bill in reference to common law and to study the land policy of some important member states to find an adaptable model for our country. In view of Hungary it is really important to create a regulation which harmonizes the common law and protects the country against speculatve land acquisition.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272076">
    <w:multiLevelType w:val="hybridMultilevel"/>
    <w:lvl w:ilvl="0" w:tplc="492737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272076">
    <w:abstractNumId w:val="432720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77820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