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TAKÁCS</w:t>
            </w:r>
          </w:p>
          <w:p w:rsidR="00C275A3" w:rsidRDefault="00A96AEC" w:rsidP="00C275A3">
            <w:pPr>
              <w:pStyle w:val="Hallgatokepzes"/>
            </w:pPr>
            <w:r>
              <w:t>Faculty of International Public Administration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Lajos Rácz </w:t>
            </w:r>
          </w:p>
          <w:p w:rsidR="00DB4822" w:rsidRDefault="00DB4822" w:rsidP="00E11062">
            <w:pPr>
              <w:pStyle w:val="Konzulensek"/>
            </w:pPr>
            <w:r w:rsidRPr="00DB4822">
              <w:t>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upper-chamber-reforms of 1885 and of 1926 in the history of the Hungarian Parliament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thesis deals with the theme of the reforms of the Hungarian second chamber in 1885 and in 1926. The aim of my research was to show how the structure and political power relations of the second chamber changed around these dates. The proceedings journals, the writings of the Parliament and the most important literature were used in the analysis.</w:t>
      </w:r>
    </w:p>
    <w:p>
      <w:pPr>
        <w:pBdr/>
        <w:spacing w:before="240" w:after="240" w:line="240" w:lineRule="auto"/>
        <w:ind w:left="0" w:right="0"/>
        <w:jc w:val="left"/>
      </w:pPr>
      <w:r>
        <w:rPr>
          <w:color w:val="000000"/>
          <w:sz w:val="24"/>
          <w:szCs w:val="24"/>
        </w:rPr>
        <w:t xml:space="preserve">The Hungarian Parliament is the most significant organ of the state. It represents continuity from the point of view of legal history. However, the Hungarian Parliament has only one chamber now, during the history it functioned in a bicameral form. The reforms that are presented did not intend to change the bicameral structure. Instead, they wanted to renew the structure and set up the upper house after the First World War.</w:t>
      </w:r>
    </w:p>
    <w:p>
      <w:pPr>
        <w:pBdr/>
        <w:spacing w:before="240" w:after="240" w:line="240" w:lineRule="auto"/>
        <w:ind w:left="0" w:right="0"/>
        <w:jc w:val="left"/>
      </w:pPr>
      <w:r>
        <w:rPr>
          <w:color w:val="000000"/>
          <w:sz w:val="24"/>
          <w:szCs w:val="24"/>
        </w:rPr>
        <w:t xml:space="preserve">In the first part of my dissertation I summed up the history of the Hungarian Parliament and I concentrated on the most relevant turning points from the point of my topic, for example the Act I of 1608.</w:t>
      </w:r>
    </w:p>
    <w:p>
      <w:pPr>
        <w:pBdr/>
        <w:spacing w:before="240" w:after="240" w:line="240" w:lineRule="auto"/>
        <w:ind w:left="0" w:right="0"/>
        <w:jc w:val="left"/>
      </w:pPr>
      <w:r>
        <w:rPr>
          <w:color w:val="000000"/>
          <w:sz w:val="24"/>
          <w:szCs w:val="24"/>
        </w:rPr>
        <w:t xml:space="preserve">In the case of the Reform of Kálmán Tisza the starting point of the analysis was the situation of the aristocracy. At the end of the 19th century, the upper house had gratuitously many representatives, which was not justifiable considering the number of residents as efficiency. Kálmán Tisza decided to take measures in order reform the structure of the upper chamber, which served as a basis of the aristocracy and the clergy. The Act VII of 1885 was a result of many compromises, so it could not achieve its aims.</w:t>
      </w:r>
    </w:p>
    <w:p>
      <w:pPr>
        <w:pBdr/>
        <w:spacing w:before="240" w:after="240" w:line="240" w:lineRule="auto"/>
        <w:ind w:left="0" w:right="0"/>
        <w:jc w:val="left"/>
      </w:pPr>
      <w:r>
        <w:rPr>
          <w:color w:val="000000"/>
          <w:sz w:val="24"/>
          <w:szCs w:val="24"/>
        </w:rPr>
        <w:t xml:space="preserve">The First World War radically changed Europe and even the dualistic Hungary. On 16 of November in 1918 the General Assembly dismissed the lower house, and the upper house adjourned its seat. In 1925 István Bethlen introduced the bill on the upper house of the Parliament in order that continuity remains and parliament becomes stabile.</w:t>
      </w:r>
    </w:p>
    <w:p>
      <w:pPr>
        <w:pBdr/>
        <w:spacing w:before="240" w:after="240" w:line="240" w:lineRule="auto"/>
        <w:ind w:left="0" w:right="0"/>
        <w:jc w:val="left"/>
      </w:pPr>
      <w:r>
        <w:rPr>
          <w:color w:val="000000"/>
          <w:sz w:val="24"/>
          <w:szCs w:val="24"/>
        </w:rPr>
        <w:t xml:space="preserve">The reform of 1926 was not successful. The proof is the constitution bill of Teleki, which the prime minister sent to Horthy in 1940. After the Second World War the leaders of the state did not mean to set up a bicameral parliament.</w:t>
      </w:r>
    </w:p>
    <w:p>
      <w:pPr>
        <w:pBdr/>
        <w:spacing w:before="240" w:after="240" w:line="240" w:lineRule="auto"/>
        <w:ind w:left="0" w:right="0"/>
        <w:jc w:val="left"/>
      </w:pPr>
      <w:r>
        <w:rPr>
          <w:color w:val="000000"/>
          <w:sz w:val="24"/>
          <w:szCs w:val="24"/>
        </w:rPr>
        <w:t xml:space="preserve">During my research I tried to consider the reforms in complex ways and sum up the problems of the second chamber I presented. The main conclusion of this thesis is that the most important decisions were made in the background.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58871">
    <w:multiLevelType w:val="hybridMultilevel"/>
    <w:lvl w:ilvl="0" w:tplc="42855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58871">
    <w:abstractNumId w:val="679588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492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