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NOVÁK</w:t>
            </w:r>
          </w:p>
          <w:p w:rsidR="00C275A3" w:rsidRDefault="00A96AEC" w:rsidP="00C275A3">
            <w:pPr>
              <w:pStyle w:val="Hallgatokepzes"/>
            </w:pPr>
            <w:r>
              <w:t>Geographer</w:t>
            </w:r>
            <w:r>
              <w:br/>
            </w:r>
            <w:r w:rsidR="00E77B23">
              <w:t>MSc,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Tibor Lenner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NYME TTMK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change of the city Pápa's plan in the 20th century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is a Veszprém county, historic baroque city center, Pápa intends to present the plan of changes in the geographical and historical context of geographical settlement.</w:t>
      </w:r>
      <w:r>
        <w:rPr>
          <w:color w:val="000000"/>
          <w:sz w:val="24"/>
          <w:szCs w:val="24"/>
        </w:rPr>
        <w:br/>
        <w:t xml:space="preserve">Understanding the changes to the city's development policy using, this is their impact on the settlement pattern is changed. In my thesis I try to compare the documents sought, any erroneous ideas, or even later in the realization of forward-looking proposals highlight.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28204">
    <w:multiLevelType w:val="hybridMultilevel"/>
    <w:lvl w:ilvl="0" w:tplc="60509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28204">
    <w:abstractNumId w:val="816282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844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