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BÁRKOVICS BONITA</w:t>
            </w:r>
          </w:p>
          <w:p w:rsidR="00C275A3" w:rsidRDefault="00A96AEC" w:rsidP="00C275A3">
            <w:pPr>
              <w:pStyle w:val="Hallgatokepzes"/>
            </w:pPr>
            <w:r>
              <w:t>SOTE, ÁOK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Természettudományi és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KASZÁS KRISZTINA</w:t>
            </w:r>
          </w:p>
          <w:p w:rsidR="00DB4822" w:rsidRDefault="00C275A3" w:rsidP="004D7940">
            <w:pPr>
              <w:pStyle w:val="Hallgatokepzes"/>
            </w:pPr>
            <w:r>
              <w:t>biológia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Nyugat-magyarországi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Műszaki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Szilák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TTMK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kapcsoló a Rho-család aktivításában:egy transzmembrán proteoglykán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 GTP-ázok kb. 20 kDa méretű GTP/GDP kötő proteinek, amik egy tetra-terpén lánccal vannak kihorgonyozva a membránhoz. GTP kötött formájuk aktív konformációt eredményez. Az aktív GTP-ázok bekötődve az effektor fehérjéikbe allosztérikusan aktiválják azokat. Az endogén GTP-áz aktivitásuk következtében a kötött GTP GDP-vé hidrolizál, ami inaktív konformációt eredményez, és a GDP-kötött forma ledisszociál az effektor fehérjéről, a komplex szét esik. A hidrolízist GAP enzimek (GTP-áz aktiváló proteinek) gyorsíthatják. Az aktiválás során a GDP kicserélődik GTP-re, ezt a cserét a GEF enzimek (guanin kicserélő faktorok) katalizálják. Általában a GEF-ek, GAP-ek, és effektoraik GTP-áz specifikusak. A hidrolízist vagy a GTP/GDP cserét a guanin disszociációs inhibitor (GDI) gátolja.</w:t>
      </w:r>
      <w:r>
        <w:rPr>
          <w:color w:val="000000"/>
          <w:sz w:val="24"/>
          <w:szCs w:val="24"/>
        </w:rPr>
        <w:br/>
        <w:t xml:space="preserve">A Ras szuper családhoz tartozó Rho-család magában foglalja a RhoA-t, Rac1-t, és CDC42-t, amelyek szerteágazó folyamatokat szabályoznak: a sejtosztódástól a membrándinamikán keresztül az aktin-átrendeződésig. Meghatározzák a sejtekben zajló folyamatokat, így többek között a sejtek polarizációját, ami az epitél sejteknél apiko-bazális, illetve a migráló sejteknél front-farki.</w:t>
      </w:r>
      <w:r>
        <w:rPr>
          <w:color w:val="000000"/>
          <w:sz w:val="24"/>
          <w:szCs w:val="24"/>
        </w:rPr>
        <w:br/>
        <w:t xml:space="preserve">Az I. típusú transzmembrán, proteoglykán syndecan család négy tagból áll. A syndecan-4 számos jelátviteli útvonalban részt vesz, így többek között a Rac1 aktivitásának szabályzásában is. Régóta ismert, hogy syndecan-4 KO sejtekben a Rac1 aktivitás megnő, ezért valószínű, hogy a Rac1 aktivitás csökkentésben van szerepe. Mivel a Rac1 és RhoA aktivitások egymás komplementjei ezért áttételesen a RhoA aktivitásáért is felelős. A szakirodalom eddig adós egy átfogó szabályozási modellel. Az eddig jellemzett Rac1-aktivitás szabályzó modell egy bonyolult mechanizmust takar amit sebzéses, ill. FGF2 indukcióban írtak le.</w:t>
      </w:r>
      <w:r>
        <w:rPr>
          <w:color w:val="000000"/>
          <w:sz w:val="24"/>
          <w:szCs w:val="24"/>
        </w:rPr>
        <w:br/>
        <w:t xml:space="preserve">A jelen munkában megmutatjuk, hogy a transzmembrán syndecan-4 foszforiláltsági állapota hogyan befolyásolja az aktív Rac1 és ezzel párhuzamosan a Rho szintet és lokálisan a CDC42 aktivitást is. Immunblottal bizonyítjuk, hogy a foszforilált syndecan-4 gátolja a Rac1-GTP képződést. Kettős mutánsok használatával rávilágítunk arra, hogy a gátláshoz szükséges a PDZ kötőhely. Mivel a GDI szabályzásban nem találtunk eltérést ezért egy GEF-en keresztüli gátlást valószínűsítünk.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11358">
    <w:multiLevelType w:val="hybridMultilevel"/>
    <w:lvl w:ilvl="0" w:tplc="56724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11358">
    <w:abstractNumId w:val="753113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70112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