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BONITA BRAKOVICS</w:t>
            </w:r>
          </w:p>
          <w:p w:rsidR="00C275A3" w:rsidRDefault="00A96AEC" w:rsidP="00C275A3">
            <w:pPr>
              <w:pStyle w:val="Hallgatokepzes"/>
            </w:pPr>
            <w:r>
              <w:t>Faculty of General Medicin</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KRISZTINA KASZAS</w:t>
            </w:r>
          </w:p>
          <w:p w:rsidR="00DB4822" w:rsidRDefault="00C275A3" w:rsidP="004D7940">
            <w:pPr>
              <w:pStyle w:val="Hallgatokepzes"/>
            </w:pPr>
            <w:r>
              <w:t>biology</w:t>
            </w:r>
            <w:r w:rsidR="00A96AEC">
              <w:br/>
              <w:t>BSc, 5.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Natural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Szilak</w:t>
            </w:r>
          </w:p>
          <w:p w:rsidR="00DB4822" w:rsidRDefault="00DB4822" w:rsidP="00E11062">
            <w:pPr>
              <w:pStyle w:val="Konzulensek"/>
            </w:pPr>
            <w:r w:rsidRPr="00DB4822">
              <w:t>associate professor, NYME TTMK West-Hungarian University, Savaria University Centre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switch of the Rho family of small GTPases: a transmembrane proteoglycan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small GTPases are molecular switches, which control complex cellular processes. They cycle between an inactive GDP-bound and an active GTP-bound conformation. The GTP-loaded forms interact with the effector proteins, which induce downstream signaling events. The activation cycle is primarily regulated by the guanine nucleotide exchange factors (GEFs) that catalyze the exchange of GDP for GTP. The intrinsic GTPase activity can be accelerated by GTPase-activating proteins (GAPs) facilitating so their rapid inactivation. In the cytoplasm the small GTPases are kept in inactive GDP-bound form by association with guanine nucleotide dissociation inhibitors (GDIs), shielding them from their effectors.</w:t>
      </w:r>
      <w:r>
        <w:rPr>
          <w:color w:val="000000"/>
          <w:sz w:val="24"/>
          <w:szCs w:val="24"/>
        </w:rPr>
        <w:br/>
        <w:t xml:space="preserve">Rho family belongs to the Ras super family of small GTPases, which include the best-characterized RhoA, Rac1 and Cdc42 control a wide range of biological processes such as cell adhesion, cell migration and cell polarity. Their local distributions show characteristic patterns, which in turn characterize the polarization of cells, front-rear in the migratory and apico-basal in epithelial cells.</w:t>
      </w:r>
      <w:r>
        <w:rPr>
          <w:color w:val="000000"/>
          <w:sz w:val="24"/>
          <w:szCs w:val="24"/>
        </w:rPr>
        <w:br/>
        <w:t xml:space="preserve">Syndecans (SDCs) constitute a family of four transmembrane heparan sulfate proteoglycans. Among the family members only syndecan-4 is expressed ubiquitously, involved directly in signal transduction and in the regulation of a variety of cellular processes. It has been known for a long time that the genetic knockout of syndecan-4 results in a constitutively high level of Rac1 activity, which in turn manifested in mislocalization of the overabundance active Rac1 causing defect in cell migration and in planar cell polarity thus syndecan-4 is required to maintain low baseline Rac1 activity. The recently proposed model for the regulation of Rac1 activity by syndecan-4 cannot answer the basic question, how it can depress the basal Rac1 activity.</w:t>
      </w:r>
      <w:r>
        <w:rPr>
          <w:color w:val="000000"/>
          <w:sz w:val="24"/>
          <w:szCs w:val="24"/>
        </w:rPr>
        <w:br/>
        <w:t xml:space="preserve">Here we present a new model in which syndecan-4 can directly set the Rac1 activity depending on the phosphorylation of the cytoplasmic domain of syndecan-4. Thus it can determine the activity of RhoA and locally the CDC42 activity, too. The phosphorylated form was proven to restrict the Rac1 activity; however the PDZ binding site was necessary to the inhibition. The GDI circle was found intact so we hypothesized that syndecan-4 can act via a GEF.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25044">
    <w:multiLevelType w:val="hybridMultilevel"/>
    <w:lvl w:ilvl="0" w:tplc="13241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25044">
    <w:abstractNumId w:val="64225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43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