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CZIFRA</w:t>
            </w:r>
          </w:p>
          <w:p w:rsidR="00C275A3" w:rsidRDefault="00A96AEC" w:rsidP="00C275A3">
            <w:pPr>
              <w:pStyle w:val="Hallgatokepzes"/>
            </w:pPr>
            <w:r>
              <w:t>Human Resources</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Aranka Mészáros</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Generations at the workplace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do not only deal with different generations’ unique characteristics, but with the methods which the employers are willing to motivate the entrants too. The professionals have to follow the vocational advancement, have to be familiar with the most up-to-date research outcomes. In line with this, the executives must prepare with an efficient prompting system and with an environment which urges the employees for efficient, quick and precise work.</w:t>
      </w:r>
      <w:r>
        <w:rPr>
          <w:color w:val="000000"/>
          <w:sz w:val="24"/>
          <w:szCs w:val="24"/>
        </w:rPr>
        <w:br/>
        <w:t xml:space="preserve">In my paper, I look for answers for the following questions:</w:t>
      </w:r>
      <w:r>
        <w:rPr>
          <w:color w:val="000000"/>
          <w:sz w:val="24"/>
          <w:szCs w:val="24"/>
        </w:rPr>
        <w:br/>
        <w:t xml:space="preserve">What are the influences of different generations in the personal and work means of today’s working environments.</w:t>
      </w:r>
      <w:r>
        <w:rPr>
          <w:color w:val="000000"/>
          <w:sz w:val="24"/>
          <w:szCs w:val="24"/>
        </w:rPr>
        <w:br/>
        <w:t xml:space="preserve">Is there any reason for the elder generations (baby boom, X generation) to be afraid of negative distinction after some years, on the employment market because of the not yet actively working Z generation?</w:t>
      </w:r>
      <w:r>
        <w:rPr>
          <w:color w:val="000000"/>
          <w:sz w:val="24"/>
          <w:szCs w:val="24"/>
        </w:rPr>
        <w:br/>
        <w:t xml:space="preserve">Does a vigorous difference in between the generations’ comunication exists in the means of ordinary and extraordinary (IKT) tool usage?</w:t>
      </w:r>
      <w:r>
        <w:rPr>
          <w:color w:val="000000"/>
          <w:sz w:val="24"/>
          <w:szCs w:val="24"/>
        </w:rPr>
        <w:br/>
        <w:t xml:space="preserve">The HR funtions are always expanding (labour-health safety, staff development, work time schedule remodeling, knowledge- experience transfer, know-how configuration). To support the expanding HR functions, there are special HR softwares made to ease the fullfillment of some tasks and and to help the career-, generation- and prompting managements to achieve advanced service.</w:t>
      </w:r>
      <w:r>
        <w:rPr>
          <w:color w:val="000000"/>
          <w:sz w:val="24"/>
          <w:szCs w:val="24"/>
        </w:rPr>
        <w:br/>
        <w:t xml:space="preserve">My paper makes it clear, that the generations have always been different, and by living the XXI century’s technical achievements these general changes became more and more quick and spectacular than it was in the prior X generation or in the case of the veterans. The employment rules have not changed in general, however they do change in some means and thus the employees’ demands are changing too (technical equipment, ergonomics, communicational ways). The organisations’ motivational system needs remodelling from time to time by the changes of these requisitions.</w:t>
      </w:r>
      <w:r>
        <w:rPr>
          <w:color w:val="000000"/>
          <w:sz w:val="24"/>
          <w:szCs w:val="24"/>
        </w:rPr>
        <w:br/>
        <w:t xml:space="preserve">The change of social demands are affecting the motivational systems’ advancement.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92187">
    <w:multiLevelType w:val="hybridMultilevel"/>
    <w:lvl w:ilvl="0" w:tplc="63221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92187">
    <w:abstractNumId w:val="75492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3001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