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SOMOGYI NOÉMI</w:t>
            </w:r>
          </w:p>
          <w:p w:rsidR="00C275A3" w:rsidRDefault="00A96AEC" w:rsidP="00C275A3">
            <w:pPr>
              <w:pStyle w:val="Hallgatokepzes"/>
            </w:pPr>
            <w:r>
              <w:t>Human Resource Counselling</w:t>
            </w:r>
            <w:r>
              <w:br/>
            </w:r>
            <w:r w:rsidR="00E77B23">
              <w:t>MA, 3.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Csehné Dr. Papp Imola</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of the motivations to work abroad among young people in London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today’s Europe carrying out a through examination of cross-border issues is essential to get a relevant picture about the situation, way of thinking, willingness to work and motivation of the new, young but migrant employees of the labour market. That is why I undertook the preparation of a scientific paper based on my own research on migration, focusing on the motivators of the young generation who work abroad.</w:t>
      </w:r>
      <w:r>
        <w:rPr>
          <w:color w:val="000000"/>
          <w:sz w:val="24"/>
          <w:szCs w:val="24"/>
        </w:rPr>
        <w:br/>
        <w:t xml:space="preserve">My research is based on three complex hypotheses, which are as follows. I assume that the primary reasons for working abroad are better income opportunities and a wide range of labour demand. Among the causes for the migration of the young the previous socio-cultural background plays a vital role – so often the case is that the young people who wish to spend less time to work abroad stay longer than planned in London but do not intend to stay there until the end of their lives. I also assume that the vast majority of the young people in London do not work in their profession or do not look for a job in their own profession. Their primary purpose is taking on a job as soon as possible and earning a good salary for which return they have to work a lot more hours. My third hypothesis is that the young people employed abroad are aware of the paradigm of one time I am here and also there. That is all young people still take care of their own national characteristics, which they basically do not want to forget or repress but also a new “London-consciousness feeling” can develop. The young people, who spend a long time in London, can not only regard themselves as Hungarians, Frenchmen etc. any more but also a double “national feeling” develops.</w:t>
      </w:r>
      <w:r>
        <w:rPr>
          <w:color w:val="000000"/>
          <w:sz w:val="24"/>
          <w:szCs w:val="24"/>
        </w:rPr>
        <w:br/>
        <w:t xml:space="preserve">The sample population of the research consists of young people (between 18 and 30 years of age) employed in London temporarily or permanently. I have chosen questionnaires as a method of my examination. Examining my hypotheses from several aspects promises very revealing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16352">
    <w:multiLevelType w:val="hybridMultilevel"/>
    <w:lvl w:ilvl="0" w:tplc="60321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16352">
    <w:abstractNumId w:val="507163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89986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