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TOROK</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Sardi</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Érzelemkifejezés az interneten: nyelvészeti és nem nyelvészeti elemek a tinédzserek Facebook posztjaiban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focus of the paper is language use in a subfield of the media which has been gaining a more important role in our lives recently: the Internet. The ’scene’ of the linguistic analysis is Facebook, one of the most famous social networking sites. The participants are the most active users of Facebook, namely the teenagers. </w:t>
      </w:r>
    </w:p>
    <w:p>
      <w:pPr>
        <w:pBdr/>
        <w:spacing w:before="240" w:after="240" w:line="240" w:lineRule="auto"/>
        <w:ind w:left="0" w:right="0"/>
        <w:jc w:val="left"/>
      </w:pPr>
      <w:r>
        <w:rPr>
          <w:color w:val="000000"/>
          <w:sz w:val="24"/>
          <w:szCs w:val="24"/>
        </w:rPr>
        <w:t xml:space="preserve">The hypothesis is that the use of non-linguistic elements and linguistic elements in the posts on Facebook can replace both the use of paralinguistic elements (gestures, body language and facial expressions) and prosodic elements (intonation, rhythm and volume) that characterise face-to-face interaction. </w:t>
      </w:r>
    </w:p>
    <w:p>
      <w:pPr>
        <w:pBdr/>
        <w:spacing w:before="240" w:after="240" w:line="240" w:lineRule="auto"/>
        <w:ind w:left="0" w:right="0"/>
        <w:jc w:val="left"/>
      </w:pPr>
      <w:r>
        <w:rPr>
          <w:color w:val="000000"/>
          <w:sz w:val="24"/>
          <w:szCs w:val="24"/>
        </w:rPr>
        <w:t xml:space="preserve">During the text analysis, the research questions are the following: Are teenagers able to fill the gap between face-to-face interaction and computer-mediated-communication? What are the differences and similarities of English and Hungarian teenagers’ way of expressing their feelings? How can the symbol system be described? </w:t>
      </w:r>
    </w:p>
    <w:p>
      <w:pPr>
        <w:pBdr/>
        <w:spacing w:before="240" w:after="240" w:line="240" w:lineRule="auto"/>
        <w:ind w:left="0" w:right="0"/>
        <w:jc w:val="left"/>
      </w:pPr>
      <w:r>
        <w:rPr>
          <w:color w:val="000000"/>
          <w:sz w:val="24"/>
          <w:szCs w:val="24"/>
        </w:rPr>
        <w:t xml:space="preserve">The findings show an interesting perspective of how teenagers fill the gap between face-to-face interaction and computer-mediated-communication.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27988">
    <w:multiLevelType w:val="hybridMultilevel"/>
    <w:lvl w:ilvl="0" w:tplc="14166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27988">
    <w:abstractNumId w:val="71027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843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