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ZSOLT SIMON</w:t>
            </w:r>
          </w:p>
          <w:p w:rsidR="00C275A3" w:rsidRDefault="00A96AEC" w:rsidP="00C275A3">
            <w:pPr>
              <w:pStyle w:val="Hallgatokepzes"/>
            </w:pPr>
            <w:r>
              <w:t>Foodengineer</w:t>
            </w:r>
            <w:r>
              <w:br/>
            </w:r>
            <w:r w:rsidR="00E77B23">
              <w:t>BSc, 7. semester</w:t>
            </w:r>
          </w:p>
          <w:p w:rsidR="00C265CE" w:rsidRPr="009E5FF1" w:rsidRDefault="00E77B23" w:rsidP="00C275A3">
            <w:pPr>
              <w:pStyle w:val="Hallgatokepzes"/>
              <w:rPr>
                <w:b/>
                <w:caps/>
              </w:rPr>
            </w:pPr>
            <w:r>
              <w:t>University of West Hungary</w:t>
            </w:r>
            <w:r w:rsidR="00C275A3">
              <w:br/>
            </w:r>
            <w:r w:rsidR="00DB4822">
              <w:t>Faculty of Agricaltural and Food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habil. Ágnes Bali Papp</w:t>
            </w:r>
          </w:p>
          <w:p w:rsidR="00DB4822" w:rsidRDefault="00DB4822" w:rsidP="00E11062">
            <w:pPr>
              <w:pStyle w:val="Konzulensek"/>
            </w:pPr>
            <w:r w:rsidRPr="00DB4822">
              <w:t>professor, NYME MÉK</w:t>
            </w:r>
          </w:p>
        </w:tc>
      </w:tr>
      <w:tr w:rsidR="00DB4822" w:rsidTr="00DB4822">
        <w:tc>
          <w:tcPr>
            <w:tcW w:w="9854" w:type="dxa"/>
          </w:tcPr>
          <w:p w:rsidR="00DB4822" w:rsidRPr="00DB4822" w:rsidRDefault="00DB4822" w:rsidP="004D7940">
            <w:pPr>
              <w:pStyle w:val="Konzulensek"/>
            </w:pPr>
            <w:r w:rsidRPr="00DB4822">
              <w:t>Károly Tempfli</w:t>
            </w:r>
          </w:p>
          <w:p w:rsidR="00DB4822" w:rsidRDefault="00DB4822" w:rsidP="00E11062">
            <w:pPr>
              <w:pStyle w:val="Konzulensek"/>
            </w:pPr>
            <w:r w:rsidRPr="00DB4822">
              <w:t>PhD student, NYME MÉK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Melanocortin receptor 4 polymorphism in Mangalica and Mangalica × Duroc pigs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present study the A1426G (Asp298Asn) single nucleotide polymorphism was genotyped in the melanocortin receptor 4 (MC4R) gene of two pig groups. Data of 60 Mangalica × Duroc F1 gilts and 10 Blond Mangalica barrows were collected on slaughter performance and fat production char. The analysed traits were: backfat thickness 1 and 2, average daily gain during the fattening period, loin width, weight of ham and shoulder, light reflectance value and live weight at slaughter. Further 10 Blond Mangalica boars were involved in the survey to assess the allele and genotype frequency of the polymorphism in the purebred group. The required DNA was isolated from hair follicles that were collected at the abattoir. Genotyping was carried out by means of polymerase chain reaction (PCR) and restriction fagment length polymorphism (RFLP) methods using TaqI restriction enzyme. After calculating the allele and genotype frequencies, chi-square test was applied to statistically evaluate the differences between observed and expected values according to the Hardy-Weinberg equilibrium (HWE). Since there was no significant (p&lt;0.05) difference in either groups, it can be concluded that both populations are in HWE. The frequencies of A and G alleles were 0.27 and 0.73, respectively, in the F1 group; whereas lower A (0.22) and greater G (0.78) allele frequency was detected in the purebred Mangalica group.</w:t>
      </w:r>
    </w:p>
    <w:p>
      <w:pPr>
        <w:pBdr/>
        <w:spacing w:before="240" w:after="240" w:line="240" w:lineRule="auto"/>
        <w:ind w:left="0" w:right="0"/>
        <w:jc w:val="left"/>
      </w:pPr>
      <w:r>
        <w:rPr>
          <w:color w:val="000000"/>
          <w:sz w:val="24"/>
          <w:szCs w:val="24"/>
        </w:rPr>
        <w:t xml:space="preserve">Significant (p&lt;0.05) differences were discovered between the MC4R genotypes and some fat metabolism-related traits (backfat thickness 1, 2) and light reflectance values of meat. The homozygous A gilts clearly surpassed the other genotypes in these characteristics. As for the other traits, the differences did not reach the significant level; however, the beneficial effect of A allele can be demonstrated in ham and shoulder weight, average daily gain during the fattening period and total live weight. In the case of loin width, the homozygous G animals achieved better results, but the difference was not significant.</w:t>
      </w:r>
    </w:p>
    <w:p>
      <w:pPr>
        <w:pBdr/>
        <w:spacing w:before="240" w:after="240" w:line="240" w:lineRule="auto"/>
        <w:ind w:left="0" w:right="0"/>
        <w:jc w:val="left"/>
      </w:pPr>
      <w:r>
        <w:rPr>
          <w:color w:val="000000"/>
          <w:sz w:val="24"/>
          <w:szCs w:val="24"/>
        </w:rPr>
        <w:t xml:space="preserve">The production indices of the two groups (F1 and Mangalica) were also compared by using t-test. The analysis revealed significant (p&lt;0.05) differences nearly in all traits, expect for backfat thickness 2. The results can be of practical importance in Mangalica × Duroc crosses, where the molecular genetic data provide helpful information in selection programs for backfat thickness or even meat colour.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527545">
    <w:multiLevelType w:val="hybridMultilevel"/>
    <w:lvl w:ilvl="0" w:tplc="310645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527545">
    <w:abstractNumId w:val="655275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75861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