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ÉDUA ANTAL</w:t>
            </w:r>
          </w:p>
          <w:p w:rsidR="00C275A3" w:rsidRDefault="00A96AEC" w:rsidP="00C275A3">
            <w:pPr>
              <w:pStyle w:val="Hallgatokepzes"/>
            </w:pPr>
            <w:r>
              <w:t>School music techer and Teacher of visual culture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Bíró</w:t>
            </w:r>
          </w:p>
          <w:p w:rsidR="00DB4822" w:rsidRDefault="00DB4822" w:rsidP="00E11062">
            <w:pPr>
              <w:pStyle w:val="Konzulensek"/>
            </w:pPr>
            <w:r w:rsidRPr="00DB4822">
              <w:t>teacher,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General and Specific Technical Elements in the Repertoire of a Piper from Felcsík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General and Specific Technical Elements in the Repertoire of a Piper from Felcsík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among the numerous piper informants of the subdialect from Csík, because of his outstanding technical and musical workmanship, I choose Károly Szentes as the topic of my research.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fact that Károly Szentes lives no longer made the preparation of my paper more difficult.That is why the collections and data published by the House of Traditions served as a basis for the completion of my study.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drew the conclusion that I could create an authentic face of Károly Szentes’s repertory if I would not only take the existing classification into account . During the processing of data I revealed inconsistencies in the classification and the nomination of different tunes.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means of analyzing the tunes, individual fingerings, fingering variations and various cadences may be detected. I represented his way of playing through some dance-tunes. This analysis may not present a whole picture.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addition to my investigations, I did a field research in Csíkjenőfalva. I indicated Károly Szentes's family as a test group, which made it possible for me not only to obtain a more comprehensive picture of his way of playing, but of the musical effects he had met before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93982">
    <w:multiLevelType w:val="hybridMultilevel"/>
    <w:lvl w:ilvl="0" w:tplc="80701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93982">
    <w:abstractNumId w:val="25193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266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