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BIRÓ</w:t>
            </w:r>
          </w:p>
          <w:p w:rsidR="00C275A3" w:rsidRDefault="00A96AEC" w:rsidP="00C275A3">
            <w:pPr>
              <w:pStyle w:val="Hallgatokepzes"/>
            </w:pPr>
            <w:r>
              <w:t>Scool music teacher and Teacher of incnusive ecudation</w:t>
            </w:r>
            <w:r>
              <w:br/>
            </w:r>
            <w:r w:rsidR="00E77B23">
              <w:t>MA, 1. semester</w:t>
            </w:r>
          </w:p>
          <w:p w:rsidR="00C265CE" w:rsidRPr="009E5FF1" w:rsidRDefault="00E77B23" w:rsidP="00C275A3">
            <w:pPr>
              <w:pStyle w:val="Hallgatokepzes"/>
              <w:rPr>
                <w:b/>
                <w:caps/>
              </w:rPr>
            </w:pPr>
            <w:r>
              <w:t>College of Nyíregyháza</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Nauner-Agárdi</w:t>
            </w:r>
          </w:p>
          <w:p w:rsidR="00DB4822" w:rsidRDefault="00DB4822" w:rsidP="00E11062">
            <w:pPr>
              <w:pStyle w:val="Konzulensek"/>
            </w:pPr>
            <w:r w:rsidRPr="00DB4822">
              <w:t>assistant, NYF BTMK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Outlaw's Songs, Ballads and Exile Songs of Mezőtúr and its Sorroundings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Each historical period has its own negative human figures. They could not and did not want to meet the social expectations, and because of their deeds in many cases they faced official forces. These people were called outlaws, who became the themes of outlaw songs, exile chants and outlaw ballads.During the investigation of folksong-material of Mezőtúr and its surrounding area, I came across mainly two famous outlaws, Bandi Angyal (Angel) and Alexander Rózsa. They plotted their actions and lives of the people before us through their songs and ballads. After analyzing the songs, I managed to reveal that almost half of the observed items belonged to the new style. Songs in the old style and the mixed class are represented by almost the same proportion of the songs. Besides analytical considerations, I have picked out the way of interpretation. The way of interpretation determined the specific character of the songs, by the means of which they could be widespread and became also popular.</w:t>
      </w:r>
    </w:p>
    <w:p>
      <w:pPr>
        <w:widowControl w:val="on"/>
        <w:pBdr/>
        <w:spacing w:before="240" w:after="240" w:line="240" w:lineRule="auto"/>
        <w:ind w:left="0" w:right="0"/>
        <w:jc w:val="left"/>
      </w:pPr>
      <w:r>
        <w:rPr>
          <w:color w:val="000000"/>
          <w:sz w:val="24"/>
          <w:szCs w:val="24"/>
        </w:rPr>
        <w:t xml:space="preserve">Three of the observed folk songs can be encountered in parlando and rubato performance.</w:t>
      </w:r>
    </w:p>
    <w:p>
      <w:pPr>
        <w:widowControl w:val="on"/>
        <w:pBdr/>
        <w:spacing w:before="240" w:after="240" w:line="240" w:lineRule="auto"/>
        <w:ind w:left="0" w:right="0"/>
        <w:jc w:val="left"/>
      </w:pPr>
      <w:r>
        <w:rPr>
          <w:color w:val="000000"/>
          <w:sz w:val="24"/>
          <w:szCs w:val="24"/>
        </w:rPr>
        <w:t xml:space="preserve">All three are folk-ballads. Ten songs may be sounded in Tempo Giusto style. In this group we find a ballad, and nine folk songs.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981163">
    <w:multiLevelType w:val="hybridMultilevel"/>
    <w:lvl w:ilvl="0" w:tplc="271111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981163">
    <w:abstractNumId w:val="689811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60131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