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HANDA</w:t>
            </w:r>
          </w:p>
          <w:p w:rsidR="00C275A3" w:rsidRDefault="00A96AEC" w:rsidP="00C275A3">
            <w:pPr>
              <w:pStyle w:val="Hallgatokepzes"/>
            </w:pPr>
            <w:r>
              <w:t>Medical Laboratorial Diagnostic Imaging Analysis</w:t>
            </w:r>
            <w:r>
              <w:br/>
            </w:r>
            <w:r w:rsidR="00E77B23">
              <w:t>BSc, 5. semester</w:t>
            </w:r>
          </w:p>
          <w:p w:rsidR="00C265CE" w:rsidRPr="009E5FF1" w:rsidRDefault="00E77B23" w:rsidP="00C275A3">
            <w:pPr>
              <w:pStyle w:val="Hallgatokepzes"/>
              <w:rPr>
                <w:b/>
                <w:caps/>
              </w:rPr>
            </w:pPr>
            <w:r>
              <w:t>University of Miskolc</w:t>
            </w:r>
            <w:r w:rsidR="00C275A3">
              <w:br/>
            </w:r>
            <w:r w:rsidR="00DB4822">
              <w:t>Faculty of Healthcare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Béla Fornet</w:t>
            </w:r>
          </w:p>
          <w:p w:rsidR="00DB4822" w:rsidRDefault="00DB4822" w:rsidP="00E11062">
            <w:pPr>
              <w:pStyle w:val="Konzulensek"/>
            </w:pPr>
            <w:r w:rsidRPr="00DB4822">
              <w:t>college professor, ME EK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Diagnostic imaging of benign focal liver diseases</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Introduction: If only one word could be used to express the operation and function of the liver, it would be adaptation; therefore, its structural and functional lesions require attention. The main problem that has apeared in the course of my study is that it is often difficult to separate malignant or benign tumors from differential diagnostic point of view. This is an existing problem, as in the case of a bad diagnosis or an  incorrect assumption, a lot of unnecessary andexpensive examinations can be done. The protocol is suitable for the assessment of atypic and problematic cases. While conducting my research I proposed to compare the national and international protocols.</w:t>
      </w:r>
    </w:p>
    <w:p>
      <w:pPr>
        <w:widowControl w:val="on"/>
        <w:pBdr/>
        <w:spacing w:before="240" w:after="240" w:line="240" w:lineRule="auto"/>
        <w:ind w:left="0" w:right="0"/>
        <w:jc w:val="left"/>
      </w:pPr>
      <w:r>
        <w:rPr>
          <w:color w:val="000000"/>
          <w:sz w:val="24"/>
          <w:szCs w:val="24"/>
        </w:rPr>
        <w:t xml:space="preserve">Methods: During my research I prepared the statistics of the diseases processing the data retrived from the database of the Borsod-Abaúj-Zemplén County Hospital. This meant searching and screening by ICD codes referring to 2011-2012. The number of patients on the resulting list was 1200, and after a number of screening the final list consisted of 700 patients. The comparison of national and international informations was based on publications that appeared in different specialised journals.</w:t>
      </w:r>
    </w:p>
    <w:p>
      <w:pPr>
        <w:widowControl w:val="on"/>
        <w:pBdr/>
        <w:spacing w:before="240" w:after="240" w:line="240" w:lineRule="auto"/>
        <w:ind w:left="0" w:right="0"/>
        <w:jc w:val="left"/>
      </w:pPr>
      <w:r>
        <w:rPr>
          <w:color w:val="000000"/>
          <w:sz w:val="24"/>
          <w:szCs w:val="24"/>
        </w:rPr>
        <w:t xml:space="preserve">Results:The results demonstrate the mode of the appearance of lesions. Furthermore, it was confirmed that the protocol is used in the B.-A.-Z County Hospital as well, since ultrasound and CT scans were processed for the most part. During my research it turned out that contrast agents were used for CT scanning and MRI, but not for the ltrasound. Additionally, none of the applied contrast agents were tissue-specific. This can originate in financial reasons and differences in financing.</w:t>
      </w:r>
    </w:p>
    <w:p>
      <w:pPr>
        <w:widowControl w:val="on"/>
        <w:pBdr/>
        <w:spacing w:before="240" w:after="240" w:line="240" w:lineRule="auto"/>
        <w:ind w:left="0" w:right="0"/>
        <w:jc w:val="left"/>
      </w:pPr>
      <w:r>
        <w:rPr>
          <w:color w:val="000000"/>
          <w:sz w:val="24"/>
          <w:szCs w:val="24"/>
        </w:rPr>
        <w:t xml:space="preserve">Conclusion: During the course of my research I have come to the conclusion that the ICD codes would require reconsideration or more accurate classification. Moreover, greater clinical cooperation would be necessary. Consultations including a greater number of experts could also help doctors make more accurate diagnoses. More precise findings of the enlarged, incidentally detected lesions would also be important. Finally, I would encourage the promotion of the unification of the protocol.</w:t>
      </w:r>
    </w:p>
    <w:p>
      <w:pPr>
        <w:widowControl w:val="on"/>
        <w:pBdr/>
        <w:spacing w:before="240" w:after="240" w:line="240" w:lineRule="auto"/>
        <w:ind w:left="0" w:right="0"/>
        <w:jc w:val="left"/>
      </w:pPr>
      <w:r>
        <w:rPr>
          <w:color w:val="000000"/>
          <w:sz w:val="24"/>
          <w:szCs w:val="24"/>
        </w:rPr>
        <w:br/>
        <w:t xml:space="preserve">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4071302">
    <w:multiLevelType w:val="hybridMultilevel"/>
    <w:lvl w:ilvl="0" w:tplc="9879765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4071302">
    <w:abstractNumId w:val="7407130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69458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