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SZŰCS</w:t>
            </w:r>
          </w:p>
          <w:p w:rsidR="00C275A3" w:rsidRDefault="00A96AEC" w:rsidP="00C275A3">
            <w:pPr>
              <w:pStyle w:val="Hallgatokepzes"/>
            </w:pPr>
            <w:r>
              <w:t>Agricultural engineering</w:t>
            </w:r>
            <w:r>
              <w:br/>
            </w:r>
            <w:r w:rsidR="00E77B23">
              <w:t>BSc, 6.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Dr.habil Ákos Máthé</w:t>
            </w:r>
          </w:p>
          <w:p w:rsidR="00DB4822" w:rsidRDefault="00DB4822" w:rsidP="00E11062">
            <w:pPr>
              <w:pStyle w:val="Konzulensek"/>
            </w:pPr>
            <w:r w:rsidRPr="00DB4822">
              <w:t>professor,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Date to biomass and oil production of the mediterranean spurge species (Euphorbia lagascae)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DATA TO THE BIOMASS AND OIL PRODUCTION OF THE MEDITERRANEAN SPURGE SPECIES (EUPHORBIA LAGASCAE)</w:t>
      </w:r>
    </w:p>
    <w:p>
      <w:pPr>
        <w:widowControl w:val="on"/>
        <w:pBdr/>
        <w:spacing w:before="240" w:after="240" w:line="240" w:lineRule="auto"/>
        <w:ind w:left="0" w:right="0"/>
        <w:jc w:val="left"/>
      </w:pPr>
      <w:r>
        <w:rPr>
          <w:color w:val="000000"/>
          <w:sz w:val="24"/>
          <w:szCs w:val="24"/>
        </w:rPr>
        <w:t xml:space="preserve">Author: Szűcs Ádám (III. study year)</w:t>
      </w:r>
      <w:r>
        <w:rPr>
          <w:color w:val="000000"/>
          <w:sz w:val="24"/>
          <w:szCs w:val="24"/>
        </w:rPr>
        <w:br/>
        <w:t xml:space="preserve">West Hungarian University, Faculty of Agriculture and Food Science</w:t>
      </w:r>
      <w:r>
        <w:rPr>
          <w:color w:val="000000"/>
          <w:sz w:val="24"/>
          <w:szCs w:val="24"/>
        </w:rPr>
        <w:br/>
        <w:t xml:space="preserve">Mosonmagyaróvár, Institute of Environmental Sciences,</w:t>
      </w:r>
      <w:r>
        <w:rPr>
          <w:color w:val="000000"/>
          <w:sz w:val="24"/>
          <w:szCs w:val="24"/>
        </w:rPr>
        <w:br/>
        <w:t xml:space="preserve">Department of Botany</w:t>
      </w:r>
      <w:r>
        <w:rPr>
          <w:color w:val="000000"/>
          <w:sz w:val="24"/>
          <w:szCs w:val="24"/>
        </w:rPr>
        <w:br/>
        <w:t xml:space="preserve">Consultant: Dr. Máthé Ákos, professor Doctor of Hungarian Academy of Sciences</w:t>
      </w:r>
    </w:p>
    <w:p>
      <w:pPr>
        <w:widowControl w:val="on"/>
        <w:pBdr/>
        <w:spacing w:before="240" w:after="240" w:line="240" w:lineRule="auto"/>
        <w:ind w:left="0" w:right="0"/>
        <w:jc w:val="left"/>
      </w:pPr>
      <w:r>
        <w:rPr>
          <w:color w:val="000000"/>
          <w:sz w:val="24"/>
          <w:szCs w:val="24"/>
        </w:rPr>
        <w:t xml:space="preserve">Our classical oil crops (e.g.: soy bean, rape, sunflower) are primarily utilized by the food industry. In addition to their food utilization, recent years have seen the emergence of new, alternative oil crops, utilized mainly by the industry. These crops, due to the special composition of their oils, are more suitable for the production of chemicals. They can be also used as substitutes for petrochemical products.</w:t>
      </w:r>
      <w:r>
        <w:rPr>
          <w:color w:val="000000"/>
          <w:sz w:val="24"/>
          <w:szCs w:val="24"/>
        </w:rPr>
        <w:br/>
        <w:t xml:space="preserve">The subject of my experiments was Euphorbia lagascae a member of the family Euphorbiaceae, one of the characteristic representatives of the new, alternative crops. The seeds of Euphorbia lagascae contain a relatively high rate of oil (48-52%), 58-67 % of which is a made up by vernolic acid (12,13-epoxy-cis-octadienic acid), a precious, natural epoxy-fatty acid. According to our present knowledge, the oil obtained from the seeds can find various utilizations, among which the production of industrial lubricants and biodegradable plastics are the most important. The areas of utilization of vernolic acid are also manifold: dies, coatings, detergents or PVC production, as well as additives with use in the production of pharmaceuticals.</w:t>
      </w:r>
      <w:r>
        <w:rPr>
          <w:color w:val="000000"/>
          <w:sz w:val="24"/>
          <w:szCs w:val="24"/>
        </w:rPr>
        <w:br/>
        <w:t xml:space="preserve">Aim of my experiments was to collect data for the elaboration of agricultural technology. In this regards, plant growth parameters, yield and vernolic acid content of seeds were analyzed.</w:t>
      </w:r>
      <w:r>
        <w:rPr>
          <w:color w:val="000000"/>
          <w:sz w:val="24"/>
          <w:szCs w:val="24"/>
        </w:rPr>
        <w:br/>
        <w:t xml:space="preserve">In the experiments, I studied the effect of nitrogen fertilizers on plant growth, seed yield and within this, the oil yield.</w:t>
      </w:r>
      <w:r>
        <w:rPr>
          <w:color w:val="000000"/>
          <w:sz w:val="24"/>
          <w:szCs w:val="24"/>
        </w:rPr>
        <w:br/>
        <w:t xml:space="preserve">My preliminary investigations prove that the species tolerates the Hungarian ecological conditions well. The elaboration of the large scale agricultural technology needs father investigations.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88775">
    <w:multiLevelType w:val="hybridMultilevel"/>
    <w:lvl w:ilvl="0" w:tplc="41621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88775">
    <w:abstractNumId w:val="199887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03156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