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TÖRÖK</w:t>
            </w:r>
          </w:p>
          <w:p w:rsidR="00C275A3" w:rsidRDefault="00A96AEC" w:rsidP="00C275A3">
            <w:pPr>
              <w:pStyle w:val="Hallgatokepzes"/>
            </w:pPr>
            <w:r>
              <w:t>Special Education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Lesznyák Márta</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learning strategies of dyslexic young adults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focuses on dyslexia and foreign language learning, more specifically on dyslexic individuals’ language learning strategies. The original aim of my study was to give an overall picture of the difficulties faced by dyslexic students when learning a foreign language. After reviewing the relevant literature my interest turned to language learning strategies. I wondered whether dyslexic students’ preferred strategies differed from those of typical individuals. In this paper I present the results of my investigation on language learning strategies of dyslexic and typically developing individuals. I will go into detail about the most and least popular strategies in the groups studied. I will highlight similarities and differences between the two groups and I will discuss gender differences, too. I will also try to draw some conclusions relying on these findings.</w:t>
      </w:r>
    </w:p>
    <w:p>
      <w:pPr>
        <w:pBdr/>
        <w:spacing w:before="240" w:after="240" w:line="240" w:lineRule="auto"/>
        <w:ind w:left="0" w:right="0"/>
        <w:jc w:val="left"/>
      </w:pPr>
      <w:r>
        <w:rPr>
          <w:color w:val="000000"/>
          <w:sz w:val="24"/>
          <w:szCs w:val="24"/>
        </w:rPr>
        <w:t xml:space="preserve">The results of the research indicate that dyslexic individuals’ language learning strategies differ from typically developing individuals’ strategies on several points. However, as the sample was relatively small, far-reaching conclusions cannot be drawn from this finding but it underlines the importance of repeating the research on a larger sample.</w:t>
      </w:r>
    </w:p>
    <w:p>
      <w:pPr>
        <w:pBdr/>
        <w:spacing w:before="240" w:after="240" w:line="240" w:lineRule="auto"/>
        <w:ind w:left="0" w:right="0"/>
        <w:jc w:val="left"/>
      </w:pPr>
      <w:r>
        <w:rPr>
          <w:color w:val="000000"/>
          <w:sz w:val="24"/>
          <w:szCs w:val="24"/>
        </w:rPr>
        <w:t xml:space="preserve">No gender differences were found in the study, which may be partly due to the small sample size again, but the uneven distribution of male and female participants in the sub-groups may have contributed to the results. Further research is needed to learn more about gender differences related to dyslexic individuals’ language learning strategies.</w:t>
      </w:r>
    </w:p>
    <w:p>
      <w:pPr>
        <w:pBdr/>
        <w:spacing w:before="240" w:after="240" w:line="240" w:lineRule="auto"/>
        <w:ind w:left="0" w:right="0"/>
        <w:jc w:val="left"/>
      </w:pPr>
      <w:r>
        <w:rPr>
          <w:color w:val="000000"/>
          <w:sz w:val="24"/>
          <w:szCs w:val="24"/>
        </w:rPr>
        <w:t xml:space="preserve">To conclude, my findings suggest that dyslexic individuals prefer different strategies than typically developing individuals, which, in turn, implies that different strategies might be beneficial for them than for the majority of students. This may be good news for those who have been excluded from language learning because of apparent failure.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75406">
    <w:multiLevelType w:val="hybridMultilevel"/>
    <w:lvl w:ilvl="0" w:tplc="39107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75406">
    <w:abstractNumId w:val="14275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725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