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BANK</w:t>
            </w:r>
          </w:p>
          <w:p w:rsidR="00C275A3" w:rsidRDefault="00A96AEC" w:rsidP="00C275A3">
            <w:pPr>
              <w:pStyle w:val="Hallgatokepzes"/>
            </w:pPr>
            <w:r>
              <w:t>Special education</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Anita Nagyné Hegedűs</w:t>
            </w:r>
          </w:p>
          <w:p w:rsidR="00DB4822" w:rsidRDefault="00DB4822" w:rsidP="00E11062">
            <w:pPr>
              <w:pStyle w:val="Konzulensek"/>
            </w:pPr>
            <w:r w:rsidRPr="00DB4822">
              <w:t>professor's assistant,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Anxiety in children with mild intellectual disabilities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purpose of my essay is to assess the level of anxiety in children with mild intellectual disabilities. Furthermore I would like to confirm or reject the assumption that the mild intellectual disability and the different life experiences deriving from the intellectual disorder of capabilities and learning difficulties in children with mild intellectual disabilities serve as a real risk factor for the progression of anxiety compared to their healthy minded peers learning in schools with optimal development.</w:t>
      </w:r>
    </w:p>
    <w:p>
      <w:pPr>
        <w:pBdr/>
        <w:spacing w:before="240" w:after="240" w:line="240" w:lineRule="auto"/>
        <w:ind w:left="0" w:right="0"/>
        <w:jc w:val="left"/>
      </w:pPr>
      <w:r>
        <w:rPr>
          <w:color w:val="000000"/>
          <w:sz w:val="24"/>
          <w:szCs w:val="24"/>
        </w:rPr>
        <w:br/>
        <w:t xml:space="preserve">In my essay I present mild intellectual disability, the children affected by this disorder and anxiety from different points of view. Afterward based on the results of my empirical research I search for the intersection between mild intellectual disability and anxiety.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298358">
    <w:multiLevelType w:val="hybridMultilevel"/>
    <w:lvl w:ilvl="0" w:tplc="348474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298358">
    <w:abstractNumId w:val="822983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16875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