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ERTL DÓRA</w:t>
            </w:r>
          </w:p>
          <w:p w:rsidR="00C275A3" w:rsidRDefault="00A96AEC" w:rsidP="00C275A3">
            <w:pPr>
              <w:pStyle w:val="Hallgatokepzes"/>
            </w:pPr>
            <w:r>
              <w:t>Andragógia</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Demcsák Katalin</w:t>
            </w:r>
          </w:p>
          <w:p w:rsidR="00DB4822" w:rsidRDefault="00DB4822" w:rsidP="00E11062">
            <w:pPr>
              <w:pStyle w:val="Konzulensek"/>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Néző. Társadalmi színház és drámapedagógia felnőttekkel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formai és tartalmi megújulásra éhező színház egy új formájával, a részvételi, interaktív színházzal foglalkozom. A drámapedagógia és a színház egymásra hatásából kialakult gondolatok a gyakorlatban is megvalósulhattak egy projekt keretében, amelyet a Krétakör Alapítvány, a Káva Kulturális Műhely és az Anblokk Kultúra- és Társadalomtudományi Egyesület valósított meg. A cél a felnőttek kompetenciáinak fejlesztése volt, valamint az, hogy kölcsönös kommunikáció útján újraértelmezzék a néző, az előadó és az előadás kapcsolatát társadalmi problémák feldolgozásán keresztül.</w:t>
      </w:r>
    </w:p>
    <w:p>
      <w:pPr>
        <w:widowControl w:val="on"/>
        <w:pBdr/>
        <w:spacing w:before="240" w:after="240" w:line="240" w:lineRule="auto"/>
        <w:ind w:left="0" w:right="0"/>
        <w:jc w:val="left"/>
      </w:pPr>
      <w:r>
        <w:rPr>
          <w:color w:val="000000"/>
          <w:sz w:val="24"/>
          <w:szCs w:val="24"/>
        </w:rPr>
        <w:t xml:space="preserve">Kíváncsi voltam, milyen lehetőségek rejlenek a drámapedagógia, az interaktív színház felnőttképzésben, közösség- és kompetenciafejlesztésben való használatában. Lehet-e a színházi aktivitás, a drámapedagógiai foglalkozás sikeres formája vagy eszköze a felnőttek művelésének, művelődésének, élethosszig tartó tanulási folyamatának? Milyen területeken fejti ki hatását, milyen kompetenciákat fejleszt, mire érdemes használni?</w:t>
      </w:r>
    </w:p>
    <w:p>
      <w:pPr>
        <w:widowControl w:val="on"/>
        <w:pBdr/>
        <w:spacing w:before="240" w:after="240" w:line="240" w:lineRule="auto"/>
        <w:ind w:left="0" w:right="0"/>
        <w:jc w:val="left"/>
      </w:pPr>
      <w:r>
        <w:rPr>
          <w:color w:val="000000"/>
          <w:sz w:val="24"/>
          <w:szCs w:val="24"/>
        </w:rPr>
        <w:t xml:space="preserve">Sorra veszem azokat a kulcskompetenciákat, melyekre az Európai Unió szakvéleménye szerint pozitívan hat a tágan értelmezett módszer. Elemzem a hasonló gondolkodásmódok és közös célok szerencsés metszéspontjában létrejött Új Néző közösségi színházi programot, melynek célja az volt, hogy két Borsod megyei falu lakóinak együttélését megkönnyítse új szemléletmódok elsajátításával, új hozzáállás kialakításával. Bemutatom a projektet, célkitűzéseit, a megvalósítás helyszínéül szolgáló két falu, Ároktő és Szomolya történetét és az abból fakadó mai viszonyaikat, és részletesen elemzem a hetekig folyó, felnőtteknek (is) szóló munka esti programjait. Fontosnak tartom, hogy olyan módon teremtettek tanulási helyzetet, hogy a résztvevők élményként fogták föl a foglalkozást, nem pedig tanulásként.</w:t>
      </w:r>
    </w:p>
    <w:p>
      <w:pPr>
        <w:widowControl w:val="on"/>
        <w:pBdr/>
        <w:spacing w:before="240" w:after="240" w:line="240" w:lineRule="auto"/>
        <w:ind w:left="0" w:right="0"/>
        <w:jc w:val="left"/>
      </w:pPr>
      <w:r>
        <w:rPr>
          <w:color w:val="000000"/>
          <w:sz w:val="24"/>
          <w:szCs w:val="24"/>
        </w:rPr>
        <w:t xml:space="preserve">Mindezek alapján azt a következtetést vonom le, hogy érdemes felnőtteket is bevonni az interakciókba, mert nagyobb hatékonyság érhető el az általános tantermi oktatásnál a kulcskompetenciák fejlesztésében. Választ kaptam arra, mekkora szükség van a felnőttek művelésére, művelődésére, élethosszig tartó tanulására, és a kompetenciafejlesztés mögött milyen igények rejlenek. Végeredményként megerősítést nyert a részvételen alapuló színházak hasznossága, melyre alapozva konkrét andragógiai programokat érdemes kidolgozni.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48682">
    <w:multiLevelType w:val="hybridMultilevel"/>
    <w:lvl w:ilvl="0" w:tplc="47077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48682">
    <w:abstractNumId w:val="86548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935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