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FORRAI</w:t>
            </w:r>
          </w:p>
          <w:p w:rsidR="00C275A3" w:rsidRDefault="00A96AEC" w:rsidP="00C275A3">
            <w:pPr>
              <w:pStyle w:val="Hallgatokepzes"/>
            </w:pPr>
            <w:r>
              <w:t>andragogy</w:t>
            </w:r>
            <w:r>
              <w:br/>
            </w:r>
            <w:r w:rsidR="00E77B23">
              <w:t>MA,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Farkas phd.</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lifelong learning paradigm for implementation in Hungary Policy versus practice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Lifelong learning permeates throughout our entire careers and is a process that continues from birth until death. Education and training have an equal-opportunity function, which can offer a solution for individual, social and economic problems.</w:t>
      </w:r>
    </w:p>
    <w:p>
      <w:pPr>
        <w:pBdr/>
        <w:spacing w:before="240" w:after="240" w:line="240" w:lineRule="auto"/>
        <w:ind w:left="0" w:right="0"/>
        <w:jc w:val="left"/>
      </w:pPr>
      <w:r>
        <w:rPr>
          <w:color w:val="000000"/>
          <w:sz w:val="24"/>
          <w:szCs w:val="24"/>
        </w:rPr>
        <w:t xml:space="preserve">The aim of my thesis was toprovide anoverview of the Hungarian government’s lifelong learning strategy, published in 2005 and to analyze the implementation of its objectives. I chose this subject due to its current relevance and actuality. The primary function of my essay was to refine the publication, as I did not find this type of exploratory work during my research. At this point there hasn’t been any evaluation or follow up to the strategy of lifelong learning. I attempted to fill this void.</w:t>
      </w:r>
    </w:p>
    <w:p>
      <w:pPr>
        <w:pBdr/>
        <w:spacing w:before="240" w:after="240" w:line="240" w:lineRule="auto"/>
        <w:ind w:left="0" w:right="0"/>
        <w:jc w:val="left"/>
      </w:pPr>
      <w:r>
        <w:rPr>
          <w:color w:val="000000"/>
          <w:sz w:val="24"/>
          <w:szCs w:val="24"/>
        </w:rPr>
        <w:t xml:space="preserve">In order to discover this subject I conducted primary and secondary research. I evaluated domestic literature and also analyzed strategic documents and statistical data, using the following sources: National Statistical Office, Eurostat, National Employment Service. I commenced my primary research in November, 2012 by conducting five semi-structured interviews with experts, who participated in constructing the Hungarian LLL strategy.</w:t>
      </w:r>
    </w:p>
    <w:p>
      <w:pPr>
        <w:pBdr/>
        <w:spacing w:before="240" w:after="240" w:line="240" w:lineRule="auto"/>
        <w:ind w:left="0" w:right="0"/>
        <w:jc w:val="left"/>
      </w:pPr>
      <w:r>
        <w:rPr>
          <w:color w:val="000000"/>
          <w:sz w:val="24"/>
          <w:szCs w:val="24"/>
        </w:rPr>
        <w:t xml:space="preserve">I am convinced that lifelong learning is more important than ever in the 21st century. Adult education remains one of the key parts of the European Union's educational, economic and social policies. The strategy is essential to modern society, due to the increasingly aging population of the European Union. This factor creates the necessity to improve adult education and to provide more skills for professional development, in order to maintain a sustainable economy. The European Union has therefore constructed a new action plan for adult learning, designed to accomplish the objectives of the Europe 2020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58580">
    <w:multiLevelType w:val="hybridMultilevel"/>
    <w:lvl w:ilvl="0" w:tplc="58934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58580">
    <w:abstractNumId w:val="452585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4549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