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RENDEK</w:t>
            </w:r>
          </w:p>
          <w:p w:rsidR="00C275A3" w:rsidRDefault="00A96AEC" w:rsidP="00C275A3">
            <w:pPr>
              <w:pStyle w:val="Hallgatokepzes"/>
            </w:pPr>
            <w:r>
              <w:t>Andragogy</w:t>
            </w:r>
            <w:r>
              <w:br/>
            </w:r>
            <w:r w:rsidR="00E77B23">
              <w:t>MA,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Farkas</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 learnd, I am learning and will I learn? Opportunities and barriers of adult education in Bács-Kiskun county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not a lot of researches about adults who studied or study in adult education but those who do or did it have experiences and opinions. If we listen to them, we are able to operate Life Long Learning on a higher level.</w:t>
      </w:r>
    </w:p>
    <w:p>
      <w:pPr>
        <w:pBdr/>
        <w:spacing w:before="240" w:after="240" w:line="240" w:lineRule="auto"/>
        <w:ind w:left="0" w:right="0"/>
        <w:jc w:val="left"/>
      </w:pPr>
      <w:r>
        <w:rPr>
          <w:color w:val="000000"/>
          <w:sz w:val="24"/>
          <w:szCs w:val="24"/>
        </w:rPr>
        <w:t xml:space="preserve">I did a primary and a secondary research based on databases and statics of KSH, OSAP, AFSZ and EUROSTAT. I did structured research by questionnaires; I asked adults who studied or study in adult education in Bács-Kiskun county in 2012. I asked them about their opinion and experiences and about their problems and motivations as well. Beyond that, I did two interviews. My interviews are about an employee of South-Plain Regional Employment Office and a young mother who studied in adult education and now she is unemployed.</w:t>
      </w:r>
    </w:p>
    <w:p>
      <w:pPr>
        <w:pBdr/>
        <w:spacing w:before="240" w:after="240" w:line="240" w:lineRule="auto"/>
        <w:ind w:left="0" w:right="0"/>
        <w:jc w:val="left"/>
      </w:pPr>
      <w:r>
        <w:rPr>
          <w:color w:val="000000"/>
          <w:sz w:val="24"/>
          <w:szCs w:val="24"/>
        </w:rPr>
        <w:t xml:space="preserve">By a project that I made in 2010, by the project of 2012 and by the secondary researches, I set out:</w:t>
      </w:r>
    </w:p>
    <w:p>
      <w:pPr>
        <w:pStyle w:val="ListParagraphPHPDOCX"/>
        <w:numPr>
          <w:ilvl w:val="0"/>
          <w:numId w:val="49215765"/>
        </w:numPr>
        <w:spacing w:before="0" w:after="0" w:line="240" w:lineRule="auto"/>
        <w:contextualSpacing/>
        <w:jc w:val="left"/>
        <w:rPr>
          <w:sz w:val="24"/>
          <w:szCs w:val="24"/>
        </w:rPr>
      </w:pPr>
      <w:r>
        <w:rPr>
          <w:color w:val="000000"/>
          <w:sz w:val="24"/>
          <w:szCs w:val="24"/>
        </w:rPr>
        <w:t xml:space="preserve">Not just those adults study in adult education who do not have a profession. So the participation in the adult education does not correlate with the adult’s jobs or their professions.</w:t>
      </w:r>
    </w:p>
    <w:p>
      <w:pPr>
        <w:pStyle w:val="ListParagraphPHPDOCX"/>
        <w:numPr>
          <w:ilvl w:val="0"/>
          <w:numId w:val="49215765"/>
        </w:numPr>
        <w:spacing w:before="0" w:after="0" w:line="240" w:lineRule="auto"/>
        <w:contextualSpacing/>
        <w:jc w:val="left"/>
        <w:rPr>
          <w:sz w:val="24"/>
          <w:szCs w:val="24"/>
        </w:rPr>
      </w:pPr>
      <w:r>
        <w:rPr>
          <w:color w:val="000000"/>
          <w:sz w:val="24"/>
          <w:szCs w:val="24"/>
        </w:rPr>
        <w:t xml:space="preserve">The person who studied in adult education probably will study again, either in short or long training.</w:t>
      </w:r>
    </w:p>
    <w:p>
      <w:pPr>
        <w:pStyle w:val="ListParagraphPHPDOCX"/>
        <w:numPr>
          <w:ilvl w:val="0"/>
          <w:numId w:val="49215765"/>
        </w:numPr>
        <w:spacing w:before="0" w:after="0" w:line="240" w:lineRule="auto"/>
        <w:contextualSpacing/>
        <w:jc w:val="left"/>
        <w:rPr>
          <w:sz w:val="24"/>
          <w:szCs w:val="24"/>
        </w:rPr>
      </w:pPr>
      <w:r>
        <w:rPr>
          <w:color w:val="000000"/>
          <w:sz w:val="24"/>
          <w:szCs w:val="24"/>
        </w:rPr>
        <w:t xml:space="preserve">Two-thirds of the adults who filled the questionnaires did not study or doesn’t study in their own hometown, and about 50% of them travel at least 30 km to the place where they studied or study.</w:t>
      </w:r>
    </w:p>
    <w:p>
      <w:pPr>
        <w:pStyle w:val="ListParagraphPHPDOCX"/>
        <w:numPr>
          <w:ilvl w:val="0"/>
          <w:numId w:val="49215765"/>
        </w:numPr>
        <w:spacing w:before="0" w:after="0" w:line="240" w:lineRule="auto"/>
        <w:contextualSpacing/>
        <w:jc w:val="left"/>
        <w:rPr>
          <w:sz w:val="24"/>
          <w:szCs w:val="24"/>
        </w:rPr>
      </w:pPr>
      <w:r>
        <w:rPr>
          <w:color w:val="000000"/>
          <w:sz w:val="24"/>
          <w:szCs w:val="24"/>
        </w:rPr>
        <w:t xml:space="preserve">50% of the adults who filled in the questionnaires got the first information about the adult education possibility through the media.</w:t>
      </w:r>
    </w:p>
    <w:p>
      <w:pPr>
        <w:pStyle w:val="ListParagraphPHPDOCX"/>
        <w:numPr>
          <w:ilvl w:val="0"/>
          <w:numId w:val="49215765"/>
        </w:numPr>
        <w:spacing w:before="0" w:after="0" w:line="240" w:lineRule="auto"/>
        <w:contextualSpacing/>
        <w:jc w:val="left"/>
        <w:rPr>
          <w:sz w:val="24"/>
          <w:szCs w:val="24"/>
        </w:rPr>
      </w:pPr>
      <w:r>
        <w:rPr>
          <w:color w:val="000000"/>
          <w:sz w:val="24"/>
          <w:szCs w:val="24"/>
        </w:rPr>
        <w:t xml:space="preserve">Adults are mostly dissatisfied with work of the teacher; with quantity of manual trainings, and with the schedule of the lessons.</w:t>
      </w:r>
    </w:p>
    <w:p>
      <w:pPr>
        <w:pBdr/>
        <w:spacing w:before="240" w:after="240" w:line="240" w:lineRule="auto"/>
        <w:ind w:left="0" w:right="0"/>
        <w:jc w:val="left"/>
      </w:pPr>
      <w:r>
        <w:rPr>
          <w:color w:val="000000"/>
          <w:sz w:val="24"/>
          <w:szCs w:val="24"/>
        </w:rPr>
        <w:t xml:space="preserve">As the consequence of this project’s results and as the secondary researches I wrote recommendations, for example:We should focus on bringing down the barrier caused by the financial status of the potential students.Work up a well-organized, understandable and productive financing model.Improve teacher’s knowledge and their pedagogy methods as well.Set up an informative, consultative, electronic portal where adults can find every useful detail about the education.</w:t>
      </w:r>
    </w:p>
    <w:p>
      <w:pPr>
        <w:pBdr/>
        <w:spacing w:before="240" w:after="240" w:line="240" w:lineRule="auto"/>
        <w:ind w:left="0" w:right="0"/>
        <w:jc w:val="left"/>
      </w:pPr>
      <w:r>
        <w:rPr>
          <w:color w:val="000000"/>
          <w:sz w:val="24"/>
          <w:szCs w:val="24"/>
        </w:rPr>
        <w:t xml:space="preserve">Based on my own researches and related data of European Union and literature all detailed analysis has given to my dissertation what helps to show every important and current activities of the policy and its possible positive and negative consequences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15765">
    <w:multiLevelType w:val="hybridMultilevel"/>
    <w:lvl w:ilvl="0" w:tplc="34635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15765">
    <w:abstractNumId w:val="492157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242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