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BERKE</w:t>
            </w:r>
          </w:p>
          <w:p w:rsidR="00C275A3" w:rsidRDefault="00A96AEC" w:rsidP="00C275A3">
            <w:pPr>
              <w:pStyle w:val="Hallgatokepzes"/>
            </w:pPr>
            <w:r>
              <w:t>Culture Mediator</w:t>
            </w:r>
            <w:r>
              <w:br/>
            </w:r>
            <w:r w:rsidR="00E77B23">
              <w:t>MA,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Enikő Pajor, dr.</w:t>
            </w:r>
          </w:p>
          <w:p w:rsidR="00DB4822" w:rsidRDefault="00DB4822" w:rsidP="00E11062">
            <w:pPr>
              <w:pStyle w:val="Konzulensek"/>
            </w:pPr>
            <w:r w:rsidRPr="00DB4822">
              <w:t>professor, SZTE JGYPK</w:t>
            </w:r>
          </w:p>
        </w:tc>
      </w:tr>
      <w:tr w:rsidR="00DB4822" w:rsidTr="00DB4822">
        <w:tc>
          <w:tcPr>
            <w:tcW w:w="9854" w:type="dxa"/>
          </w:tcPr>
          <w:p w:rsidR="00DB4822" w:rsidRPr="00DB4822" w:rsidRDefault="00DB4822" w:rsidP="004D7940">
            <w:pPr>
              <w:pStyle w:val="Konzulensek"/>
            </w:pPr>
            <w:r w:rsidRPr="00DB4822">
              <w:t>Ágnes Démuth, dr.</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Living Library; where we are the Living Books - Application opportunities of the Living Library method in the field of cultural mediation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Following a foreign precedent of Living Library, I initiated to form a group with my research colleagues in order to examine during the course of our research on how to apply the concept of Living Library in the field of cultural mediation. However, in my thesis our method of Living Library and research activities are presented.</w:t>
      </w:r>
    </w:p>
    <w:p>
      <w:pPr>
        <w:widowControl w:val="on"/>
        <w:pBdr/>
        <w:spacing w:before="240" w:after="240" w:line="240" w:lineRule="auto"/>
        <w:ind w:left="0" w:right="0"/>
        <w:jc w:val="left"/>
      </w:pPr>
      <w:r>
        <w:rPr>
          <w:color w:val="000000"/>
          <w:sz w:val="24"/>
          <w:szCs w:val="24"/>
        </w:rPr>
        <w:t xml:space="preserve">   The majority of Living Libraries focus on the extreme otherness of the topic, however, we have broken away from that school of thought in our research and tried to put the positive difference more into perspective. We have founded our own Living Library where we were the Living Books ourselves.</w:t>
      </w:r>
    </w:p>
    <w:p>
      <w:pPr>
        <w:widowControl w:val="on"/>
        <w:pBdr/>
        <w:spacing w:before="240" w:after="240" w:line="240" w:lineRule="auto"/>
        <w:ind w:left="0" w:right="0"/>
        <w:jc w:val="left"/>
      </w:pPr>
      <w:r>
        <w:rPr>
          <w:color w:val="000000"/>
          <w:sz w:val="24"/>
          <w:szCs w:val="24"/>
        </w:rPr>
        <w:t xml:space="preserve">   Our research program was based on the students and instructures of the University of Szeged. The preparations began nearly a year ago and we have accomplished five programs during the active research work within the walls of the university. In order to revive the basic idea we conducted a basic research in the topic and created a thematic program that consisted of four trials and immersed the “Readers” into topics such as leisure activities, professions, trades. hobbies. We managed to form groups with 49 registered “Readers” and 30 “Living Books”. We had amongst our “Books” Singjay, violinist, biogardener and many more.</w:t>
      </w:r>
    </w:p>
    <w:p>
      <w:pPr>
        <w:widowControl w:val="on"/>
        <w:pBdr/>
        <w:spacing w:before="240" w:after="240" w:line="240" w:lineRule="auto"/>
        <w:ind w:left="0" w:right="0"/>
        <w:jc w:val="left"/>
      </w:pPr>
      <w:r>
        <w:rPr>
          <w:color w:val="000000"/>
          <w:sz w:val="24"/>
          <w:szCs w:val="24"/>
        </w:rPr>
        <w:t xml:space="preserve">   During the method of Living library both the “Reader” and the “Book” will experience a new way informal learning, new levels of personal development while gaining new experiences. We believe that regularly held meditations will have a positive emotional impact on the participants, it will help improve their communication skills, self-esteem, social relationships and will leave the participants with a lifetime experience and a new way of thinking. Our revised and revived program series give opportunity to get an insight into other people's personalities, colourful identities, brilliant experiences and life-changing enchanted stories to explore others despite the mutual ignorance towards everyday relationships.</w:t>
      </w:r>
    </w:p>
    <w:p>
      <w:pPr>
        <w:widowControl w:val="on"/>
        <w:pBdr/>
        <w:spacing w:before="240" w:after="240" w:line="240" w:lineRule="auto"/>
        <w:ind w:left="0" w:right="0"/>
        <w:jc w:val="left"/>
      </w:pPr>
      <w:r>
        <w:rPr>
          <w:color w:val="000000"/>
          <w:sz w:val="24"/>
          <w:szCs w:val="24"/>
        </w:rPr>
        <w:t xml:space="preserve">   This year's program series has been completed, but the sequel will come in 2013 and the Living Library will open its doors to the public once again due to this year's high level of interest. If you would like to learn more about our research activities, please contact us via emal (elokonyv@gmail.com). I do hope that reader of these lines will find this new method, this new, interactive way of information exchange exciting and useful and that I have managed to kindle an interest to read further my theasis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63615">
    <w:multiLevelType w:val="hybridMultilevel"/>
    <w:lvl w:ilvl="0" w:tplc="67976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63615">
    <w:abstractNumId w:val="818636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2366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