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PRAVETZ</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Noémi habil Viskolcz, MD</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collections of Ferenc Pulszky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have chosen the story of Ferenc Pulszky’s collections as the theme of my dissertation. Pulszky was one of the most outstanding scientists, museologists, art historians and cultural politicans of the nineteenth century. Hardly known that he was involved in politics as Lajos Kossuth’s colleague, however, his activity was overshadowed gradually after 1849. He was allowed to come home from the emigration in 1867, not soon after that he was appointed as the director of the Hungarian National Museum.</w:t>
      </w:r>
    </w:p>
    <w:p>
      <w:pPr>
        <w:pBdr/>
        <w:spacing w:before="240" w:after="240" w:line="240" w:lineRule="auto"/>
        <w:ind w:left="0" w:right="0"/>
        <w:jc w:val="left"/>
      </w:pPr>
      <w:r>
        <w:rPr>
          <w:color w:val="000000"/>
          <w:sz w:val="24"/>
          <w:szCs w:val="24"/>
        </w:rPr>
        <w:t xml:space="preserve">Gábor Fejérváry, his uncle, was the establisher of the Pulszky’s collection he appealed to the young man and Pulszky’s art and aesthetic view was formed with professionals’ help on their foreign journey. Various kind of objects could be found in Fejérváry’s enormous and eclectic collection such as bronze, ivory, golden and silver objects. Pulszky’s wife, Terézia Walter, inherited his great collection in 1851.</w:t>
      </w:r>
    </w:p>
    <w:p>
      <w:pPr>
        <w:pBdr/>
        <w:spacing w:before="240" w:after="240" w:line="240" w:lineRule="auto"/>
        <w:ind w:left="0" w:right="0"/>
        <w:jc w:val="left"/>
      </w:pPr>
      <w:r>
        <w:rPr>
          <w:color w:val="000000"/>
          <w:sz w:val="24"/>
          <w:szCs w:val="24"/>
        </w:rPr>
        <w:t xml:space="preserve">Ferenc Pulszky, affected by his uncle, also started to collect at his early age and he created an entirely separated and significant art collection which abounded in antique objects such as bronze or cut stones. This was united with Fejérváry’s collection after 1851, however, many times he was forced to get rid of certain objects during his life.</w:t>
      </w:r>
    </w:p>
    <w:p>
      <w:pPr>
        <w:pBdr/>
        <w:spacing w:before="240" w:after="240" w:line="240" w:lineRule="auto"/>
        <w:ind w:left="0" w:right="0"/>
        <w:jc w:val="left"/>
      </w:pPr>
      <w:r>
        <w:rPr>
          <w:color w:val="000000"/>
          <w:sz w:val="24"/>
          <w:szCs w:val="24"/>
        </w:rPr>
        <w:t xml:space="preserve">In my essay I am going to survey the details of the formation and sale of the collection especially concentrating on some remarkable objects. Processing the theme I have searched in archives and libraries in the course of it I have used and built such sources in my essay which enrich the Pulszky’s literature with several new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05430">
    <w:multiLevelType w:val="hybridMultilevel"/>
    <w:lvl w:ilvl="0" w:tplc="23541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05430">
    <w:abstractNumId w:val="862054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2941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