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TÓTH</w:t>
            </w:r>
          </w:p>
          <w:p w:rsidR="00C275A3" w:rsidRDefault="00A96AEC" w:rsidP="00C275A3">
            <w:pPr>
              <w:pStyle w:val="Hallgatokepzes"/>
            </w:pPr>
            <w:r>
              <w:t>physical Education</w:t>
            </w:r>
            <w:r>
              <w:br/>
            </w:r>
            <w:r w:rsidR="00E77B23">
              <w:t>BSc,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Andor Molnár Ph. D</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Incidence of eating disorders among physically active and inactive university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eating disorder, anorexia athletica, female athlete triad</w:t>
      </w:r>
    </w:p>
    <w:p>
      <w:pPr>
        <w:widowControl w:val="on"/>
        <w:pBdr/>
        <w:spacing w:before="240" w:after="240" w:line="240" w:lineRule="auto"/>
        <w:ind w:left="0" w:right="0"/>
        <w:jc w:val="left"/>
      </w:pPr>
      <w:r>
        <w:rPr>
          <w:color w:val="000000"/>
          <w:sz w:val="24"/>
          <w:szCs w:val="24"/>
        </w:rPr>
        <w:t xml:space="preserve">Introduction: Nowadays eating disorder (ED) is a very frequent problem. Many publications suggest the connection between ED and sport. There are classic EDs such as anorexia nervosa and bulimia nervosa. Anorexia athletica occurs in the period of active sports activities. As far as the connection of ED and sport is concerned, female athlete triad has to be mentioned. It means the combined occurrence of eating disorder, menstrual disorders and osteoporosis.</w:t>
      </w:r>
    </w:p>
    <w:p>
      <w:pPr>
        <w:widowControl w:val="on"/>
        <w:pBdr/>
        <w:spacing w:before="240" w:after="240" w:line="240" w:lineRule="auto"/>
        <w:ind w:left="0" w:right="0"/>
        <w:jc w:val="left"/>
      </w:pPr>
      <w:r>
        <w:rPr>
          <w:color w:val="000000"/>
          <w:sz w:val="24"/>
          <w:szCs w:val="24"/>
        </w:rPr>
        <w:t xml:space="preserve">Aims: The occurrence of ED was examined among physical education (PE) and non-PE students at the University of Szeged (n = 338). Furthermore, menstrual disorders and sport habits of the students were investigated.</w:t>
      </w:r>
    </w:p>
    <w:p>
      <w:pPr>
        <w:widowControl w:val="on"/>
        <w:pBdr/>
        <w:spacing w:before="240" w:after="240" w:line="240" w:lineRule="auto"/>
        <w:ind w:left="0" w:right="0"/>
        <w:jc w:val="left"/>
      </w:pPr>
      <w:r>
        <w:rPr>
          <w:color w:val="000000"/>
          <w:sz w:val="24"/>
          <w:szCs w:val="24"/>
        </w:rPr>
        <w:t xml:space="preserve">Methods: The possible occurrence of ED was examined by EDI and Scoff tests. Menstrual disorders and sport habits were examined by our own questionnaire. Body mass index (BMI) and relative body fat were measured by InBody 230. Statistical analysis: simple disciptive statistics (%) and Mann-Whitney U-test.</w:t>
      </w:r>
    </w:p>
    <w:p>
      <w:pPr>
        <w:widowControl w:val="on"/>
        <w:pBdr/>
        <w:spacing w:before="240" w:after="240" w:line="240" w:lineRule="auto"/>
        <w:ind w:left="0" w:right="0"/>
        <w:jc w:val="left"/>
      </w:pPr>
      <w:r>
        <w:rPr>
          <w:color w:val="000000"/>
          <w:sz w:val="24"/>
          <w:szCs w:val="24"/>
        </w:rPr>
        <w:t xml:space="preserve">Results: There was no significant difference between PE and non-PE students regarding to the frequency of ED occurrence. In this aspect we detected significant differences between males and females in both student groups. Students with ED did not show menstrual disorders. BMI of males was significantly higher than female BMI in both groups. PE students had lower relative body fat in case of both sexes. In both student groups male had lower relative body fat.</w:t>
      </w:r>
    </w:p>
    <w:p>
      <w:pPr>
        <w:widowControl w:val="on"/>
        <w:pBdr/>
        <w:spacing w:before="240" w:after="240" w:line="240" w:lineRule="auto"/>
        <w:ind w:left="0" w:right="0"/>
        <w:jc w:val="left"/>
      </w:pPr>
      <w:r>
        <w:rPr>
          <w:color w:val="000000"/>
          <w:sz w:val="24"/>
          <w:szCs w:val="24"/>
        </w:rPr>
        <w:t xml:space="preserve">Conclusion: ED occurred in only small percent in the investigated groups. Students with ED had different sport habits. Majority of these students pursued team sports and the minority of them did some sports related to ED. The EDI and Scoff tests showed different results during the examinations.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55326">
    <w:multiLevelType w:val="hybridMultilevel"/>
    <w:lvl w:ilvl="0" w:tplc="73239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55326">
    <w:abstractNumId w:val="44855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344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