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BUKNICZ ALEXANDRA</w:t>
            </w:r>
          </w:p>
          <w:p w:rsidR="00C275A3" w:rsidRDefault="00A96AEC" w:rsidP="00C275A3">
            <w:pPr>
              <w:pStyle w:val="Hallgatokepzes"/>
            </w:pPr>
            <w:r>
              <w:t>Testnevelő- edző</w:t>
            </w:r>
            <w:r>
              <w:br/>
            </w:r>
            <w:r w:rsidR="00E77B23">
              <w:t>BSc,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Andor</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Szegedi egyetemi hallgatók anaerob kapacitása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egyetemi hallgatók, maximális anaerob kapacitás, relatív maximális anaerob teljesítmény</w:t>
      </w:r>
    </w:p>
    <w:p>
      <w:pPr>
        <w:widowControl w:val="on"/>
        <w:pBdr/>
        <w:spacing w:before="240" w:after="240" w:line="240" w:lineRule="auto"/>
        <w:ind w:left="0" w:right="0"/>
        <w:jc w:val="left"/>
      </w:pPr>
      <w:r>
        <w:rPr>
          <w:color w:val="000000"/>
          <w:sz w:val="24"/>
          <w:szCs w:val="24"/>
        </w:rPr>
        <w:t xml:space="preserve">Bevezetés: A szervezetbe bevitt tápanyagainkból aerob vagy anaerob körülmények között nyerhetünk energiát. A robbanékonysághoz, hirtelen, gyors erőkifejtésekhez szükséges nagy mennyiségű, anaerob úton nyert energia csak viszonylag rövid ideig áll rendelkezésünkre. Az oxigén felhasználás nélkül rendelkezésre álló anaerob energiaforrások mennyiségét az anaerob kapacitással jellemezzük. Az anaerob kapacitás becslése és mérése segíthet egy sportoló fejlődésének ellenőrzésében, illetve egy edzésprogram hatékonyságának megállapításában.</w:t>
      </w:r>
      <w:r>
        <w:rPr>
          <w:color w:val="000000"/>
          <w:sz w:val="24"/>
          <w:szCs w:val="24"/>
        </w:rPr>
        <w:br/>
        <w:t xml:space="preserve">Cél: Testnevelő- edző és nem testnevelő- edző szakos egyetemi hallgatók maximális anaerob kapacitásának és relatív maximális anaerob teljesítményének összehasonlítását végeztük egy nemzetközileg elfogadott becslési eljárás felhasználásával.</w:t>
      </w:r>
      <w:r>
        <w:rPr>
          <w:color w:val="000000"/>
          <w:sz w:val="24"/>
          <w:szCs w:val="24"/>
        </w:rPr>
        <w:br/>
        <w:t xml:space="preserve">Módszer: 19-23 éves testnevelő (n = 211 fő), illetve nem testnevelő (n = 191 fő) szakos egyetemi hallgatók vizsgálata. Függőleges súlypontemelkedés és testsúly mérése, majd az anaerob kapacitás becslése a mérési adatok Sayers - egyenletbe (1999) illesztése alapján:</w:t>
      </w:r>
      <w:r>
        <w:rPr>
          <w:color w:val="000000"/>
          <w:sz w:val="24"/>
          <w:szCs w:val="24"/>
        </w:rPr>
        <w:br/>
        <w:t xml:space="preserve">PAPW = (60,7 x VJcm) + (45,3 x BWkg) – 2055; ahol PAPW: csúcsteljesítmény wattban; VJcm: függőleges ugrás magassága centiméterben; BWkg : testtömeg kilogrammban kifejezve. A relatív maximális anaerob teljesítmény a maximális anaerob kapacitás a testsúly arányában kifejezve. Statisztikai analízis: Mann-Whitney U-teszt</w:t>
      </w:r>
      <w:r>
        <w:rPr>
          <w:color w:val="000000"/>
          <w:sz w:val="24"/>
          <w:szCs w:val="24"/>
        </w:rPr>
        <w:br/>
        <w:t xml:space="preserve">Eredmények: A maximális anaerob kapacitás eredményei szignifikánsan jobbak voltak a szakok összehasonlítása során a testnevelő szakosok, a nemeket tekintve a fiúk javára. A relatív maximális anaerob kapacitás eredményei hasonlóan alakultak, ám a testnevelő nők és a nem testnevelő férfiak eredményei között szignifikáns eltérést nem tudtunk kimutatni.</w:t>
      </w:r>
      <w:r>
        <w:rPr>
          <w:color w:val="000000"/>
          <w:sz w:val="24"/>
          <w:szCs w:val="24"/>
        </w:rPr>
        <w:br/>
        <w:t xml:space="preserve">Konklúzió: A vizsgálat során felhasznált becslési eljárás jól alkalmazhatónak bizonyult. A szegedi egyetemisták anaerob kapacitásának vizsgálata a várt eredményeket hozta. A testnevelő szakos hallgatók jobb eredményeit a nem testnevelő szakos hallgatókkal szemben a gyakori, rendszeres edzésterheléssel, sportos életmóddal hozhatjuk összefüggésbe.</w:t>
      </w:r>
    </w:p>
    <w:p>
      <w:pPr>
        <w:widowControl w:val="on"/>
        <w:pBdr/>
        <w:spacing w:before="240" w:after="240" w:line="240" w:lineRule="auto"/>
        <w:ind w:left="0" w:right="0"/>
        <w:jc w:val="left"/>
      </w:pPr>
      <w:r>
        <w:rPr>
          <w:color w:val="000000"/>
          <w:sz w:val="24"/>
          <w:szCs w:val="24"/>
        </w:rPr>
        <w:t xml:space="preserve">(Sayers, S., 1999, Med. Sci. Sports Exerc., 31:572)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92421">
    <w:multiLevelType w:val="hybridMultilevel"/>
    <w:lvl w:ilvl="0" w:tplc="55962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92421">
    <w:abstractNumId w:val="70492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648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