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BUKNICZ</w:t>
            </w:r>
          </w:p>
          <w:p w:rsidR="00C275A3" w:rsidRDefault="00A96AEC" w:rsidP="00C275A3">
            <w:pPr>
              <w:pStyle w:val="Hallgatokepzes"/>
            </w:pPr>
            <w:r>
              <w:t>PE teacher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Andor Molnar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Anaerobic capacity of university students in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university students, maximal anaerobic capacity, relative maximal anaerobic performance</w:t>
      </w:r>
    </w:p>
    <w:p>
      <w:pPr>
        <w:widowControl w:val="on"/>
        <w:pBdr/>
        <w:spacing w:before="240" w:after="240" w:line="240" w:lineRule="auto"/>
        <w:ind w:left="0" w:right="0"/>
        <w:jc w:val="left"/>
      </w:pPr>
      <w:r>
        <w:rPr>
          <w:color w:val="000000"/>
          <w:sz w:val="24"/>
          <w:szCs w:val="24"/>
        </w:rPr>
        <w:t xml:space="preserve">Introduction: Estimation and measurement of the anaerobic capacity can help in the monitoring of an athlete's development and determining the effectiveness of an exercise program.</w:t>
      </w:r>
    </w:p>
    <w:p>
      <w:pPr>
        <w:widowControl w:val="on"/>
        <w:pBdr/>
        <w:spacing w:before="240" w:after="240" w:line="240" w:lineRule="auto"/>
        <w:ind w:left="0" w:right="0"/>
        <w:jc w:val="left"/>
      </w:pPr>
      <w:r>
        <w:rPr>
          <w:color w:val="000000"/>
          <w:sz w:val="24"/>
          <w:szCs w:val="24"/>
        </w:rPr>
        <w:br/>
        <w:t xml:space="preserve">Aims: Comparison of maximal anaerobic capacity and relative maximal anaerobic power among PE and not PE students by using an internationally accepted estimation procedures.</w:t>
      </w:r>
    </w:p>
    <w:p>
      <w:pPr>
        <w:widowControl w:val="on"/>
        <w:pBdr/>
        <w:spacing w:before="240" w:after="240" w:line="240" w:lineRule="auto"/>
        <w:ind w:left="0" w:right="0"/>
        <w:jc w:val="left"/>
      </w:pPr>
      <w:r>
        <w:rPr>
          <w:color w:val="000000"/>
          <w:sz w:val="24"/>
          <w:szCs w:val="24"/>
        </w:rPr>
        <w:br/>
        <w:t xml:space="preserve">Method: Participants: 19-23 years old PE (n = 211) and not PE (n = 191) specialized university students. Maximal anaerobic capacity was estimated by Sayers equation (1999):</w:t>
      </w:r>
      <w:r>
        <w:rPr>
          <w:color w:val="000000"/>
          <w:sz w:val="24"/>
          <w:szCs w:val="24"/>
        </w:rPr>
        <w:br/>
        <w:t xml:space="preserve">Maximal anaerobic capacity (W) = (60,7 x Vertical Jump(cm)) + (45,3 x Body Weight(kg)) – 2055</w:t>
      </w:r>
    </w:p>
    <w:p>
      <w:pPr>
        <w:widowControl w:val="on"/>
        <w:pBdr/>
        <w:spacing w:before="240" w:after="240" w:line="240" w:lineRule="auto"/>
        <w:ind w:left="0" w:right="0"/>
        <w:jc w:val="left"/>
      </w:pPr>
      <w:r>
        <w:rPr>
          <w:color w:val="000000"/>
          <w:sz w:val="24"/>
          <w:szCs w:val="24"/>
        </w:rPr>
        <w:br/>
        <w:t xml:space="preserve">Results: The estimated maximal anaerobic capacity was significantly higher in case of PE students. Compared the sexes, we found similarly higher results in boys. We observed similar differences in case of relative maximal anaerobic capacity, but we did not detect any significant differences between PE girls and not PE boys.</w:t>
      </w:r>
    </w:p>
    <w:p>
      <w:pPr>
        <w:widowControl w:val="on"/>
        <w:pBdr/>
        <w:spacing w:before="240" w:after="240" w:line="240" w:lineRule="auto"/>
        <w:ind w:left="0" w:right="0"/>
        <w:jc w:val="left"/>
      </w:pPr>
      <w:r>
        <w:rPr>
          <w:color w:val="000000"/>
          <w:sz w:val="24"/>
          <w:szCs w:val="24"/>
        </w:rPr>
        <w:br/>
        <w:t xml:space="preserve">Conclusion: The estimation procedure proved to be applicable. We observed the expected results in the estimation of anaerobic capacity of university students. The better results of PE students can be explained with frequent, regular physical exercise and sporty lifestyle.</w:t>
      </w:r>
      <w:r>
        <w:rPr>
          <w:color w:val="000000"/>
          <w:sz w:val="24"/>
          <w:szCs w:val="24"/>
        </w:rPr>
        <w:br/>
        <w:t xml:space="preserve">(Sayers, S., 1999, Med. Sci. Sports Exerc., 31:572)</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01140">
    <w:multiLevelType w:val="hybridMultilevel"/>
    <w:lvl w:ilvl="0" w:tplc="28666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01140">
    <w:abstractNumId w:val="42001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754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