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FEKETE SZERÉNA</w:t>
            </w:r>
          </w:p>
          <w:p w:rsidR="00C275A3" w:rsidRDefault="00A96AEC" w:rsidP="00C275A3">
            <w:pPr>
              <w:pStyle w:val="Hallgatokepzes"/>
            </w:pPr>
            <w:r>
              <w:t>physical education coach</w:t>
            </w:r>
            <w:r>
              <w:br/>
            </w:r>
            <w:r w:rsidR="00E77B23">
              <w:t>BSc,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Szablics Péter</w:t>
            </w:r>
          </w:p>
          <w:p w:rsidR="00DB4822" w:rsidRDefault="00DB4822" w:rsidP="00E11062">
            <w:pPr>
              <w:pStyle w:val="Konzulensek"/>
            </w:pPr>
            <w:r w:rsidRPr="00DB4822">
              <w:t>Ph. D. student,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fitness status, body composition and physical power in junior age long distance runners and long track skaters in Szeged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Introduction: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 researched the fitness status, the body composition and the dynamic of the movement of the distance runners and the long track speed skaters, with help of training sessions, competitions experiences, measurements, books, magazines, online publications.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Aims: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 investigated the differences of the chosen sports and the success in these sports.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How important the physical condition and the body composition of these two sports and which methods can be use for the measurements of these parameters.This is the better sportmen, the athlete, or the speed skater at the fitness status, the body composition and the dynamic of the movement.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Methods: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20 participants took part in my research (9 long distance athletes are - 6 boys 3 girls, 11 long track speed skater - 7 girls 4 boys) from 3 sport clubs (1 athletics club and 2 speed skating clubs). They age are from 14 to 18 years. I used the Ohio Step-test for the measurement of the fitness status. InBody230 system was used for the body composition analysis, supplemented by anthropometric metering. The lifting of center of gravity position at jump and the power of jump were determined by APAS 3D movement analysis system.</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Statistical analysis: heteroszcedasztikus and simple „T” test.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848021">
    <w:multiLevelType w:val="hybridMultilevel"/>
    <w:lvl w:ilvl="0" w:tplc="424887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848021">
    <w:abstractNumId w:val="638480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57024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