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NELLI GAL</w:t>
            </w:r>
          </w:p>
          <w:p w:rsidR="00C275A3" w:rsidRDefault="00A96AEC" w:rsidP="00C275A3">
            <w:pPr>
              <w:pStyle w:val="Hallgatokepzes"/>
            </w:pPr>
            <w:r>
              <w:t>Special Needs Education</w:t>
            </w:r>
            <w:r>
              <w:br/>
            </w:r>
            <w:r w:rsidR="00E77B23">
              <w:t>BA, 7.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Imre Varga</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Comparison of the special education system of Hungary and The United States of America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document I have compared the special education system of Hungary and The United States of America. I chose this topic because I had the opportunity to work in a special education camp for children, young people and adults in the US and my experience inspired me to take a closer look at the similarities and differencies of the two systems.</w:t>
      </w:r>
      <w:r>
        <w:rPr>
          <w:color w:val="000000"/>
          <w:sz w:val="24"/>
          <w:szCs w:val="24"/>
        </w:rPr>
        <w:br/>
        <w:t xml:space="preserve">My interest in this topic was enhanced knowing that there are mainly European countries in the scope of internatinal comparative special education studies. Threfore my research covers a new, under-examined issue.</w:t>
      </w:r>
      <w:r>
        <w:rPr>
          <w:color w:val="000000"/>
          <w:sz w:val="24"/>
          <w:szCs w:val="24"/>
        </w:rPr>
        <w:br/>
        <w:t xml:space="preserve">The aspects of the comparison were the examination of historical backgrounds, the legal regulation and the uptake of the service system. By investigating the historical environment we can understand the differencies. After reviewing the effective laws on the rights of people with special needs, I will show the admission process into the system. I will trace the process steps from the moment the need arose for a child with special needs until he/she gets into the care system. In doing so, I emphasized the differencies of everyday life.</w:t>
      </w:r>
      <w:r>
        <w:rPr>
          <w:color w:val="000000"/>
          <w:sz w:val="24"/>
          <w:szCs w:val="24"/>
        </w:rPr>
        <w:br/>
        <w:t xml:space="preserve">The aim of comparative study is not to accumulate knowledge or just to learn others. The outcome should be the assessment of our special needs care system, setting up relations and to mark out the fields to be improved. These were the goals of my study and after looking into Hungarian and American technical literature, I made my research on this basis. I also made a technical use of observations I gained during my field-works and camp activity which reflects the attitude of the professionals and the parents involved.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529379">
    <w:multiLevelType w:val="hybridMultilevel"/>
    <w:lvl w:ilvl="0" w:tplc="615176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529379">
    <w:abstractNumId w:val="345293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34020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