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SIDÓ ANNA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Somorjai Sélysette</w:t>
            </w:r>
          </w:p>
          <w:p w:rsidR="00DB4822" w:rsidRDefault="00DB4822" w:rsidP="00E11062">
            <w:pPr>
              <w:pStyle w:val="Konzulensek"/>
            </w:pPr>
            <w:r w:rsidRPr="00DB4822">
              <w:t>megbízott előadó,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Füstbe ment terv? Az integrált örökségvédelem még fennálló lehetőségei az Óbudai Gázgyár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tárgya az Óbudai Gázgyár területén még létre jöhető integrált örökségvédelem. A téma kapcsán arra szeretnék választ találni, hogy mit jelent a mai műemlékvédelmi gyakorlatban az integrált örökségvédelem fogalma, s hogy ennek milyen megvalósítási lehetőségei vannak a Gázgyár területén. Feltevésem az, hogy az integrált örökségvédelem normáit az alapkutatások eredményeiből leszűrt értékek mentén kell kijelölni. Arra szeretnék rávilágítani, hogy az alapkutatások módszertani, szemléletbeli és tematikai sokfélesége, valamint azoknak a terület eredeti funkciójának összefüggésrendszerében történő elhelyezése már önmagában is indokolja az integrált örökségvédelmi szemlélet alkalmazásának jogosságát. Célom ezzel az, hogy ezt a magyarországi szakirodalomban is gyakran emlegetett, de kevéssé pontosított új szempontot érvényesítve, megvizsgáljam a már műemléknek nyilvánított épületegyüttes kortárs (2004-től számított) történetét. Az integrált műemlékvédelmi szemlélet alkalmazhatóságának vizsgálata még akkor is indokolt, ha tudjuk, hogy a Gázgyár területének hasznosítása már elkezdődött. A terület jelentős részén a Graphisoft Park Kft. tulajdonában lévő területen infotechnológiai vállalatok működnek. A terület azon részének a hasznosításáról, mely az Óbudai Önkormányzat tulajdonában van még nem született döntés. A hasznosításról és a lehetséges funkcióiról szóló parttalan és koncepciótlannak tűnő „vita” 2004-óta húzódik, s az idő növekedésével fordított arányosságban csökken a köztulajdonban lévő terület nagysága.</w:t>
      </w:r>
      <w:r>
        <w:rPr>
          <w:color w:val="000000"/>
          <w:sz w:val="24"/>
          <w:szCs w:val="24"/>
        </w:rPr>
        <w:br/>
        <w:t xml:space="preserve">Dolgozatomnak nem célja, s elméleti/tudományos munkaként nem is lehet célja egy konkrét hasznosítási javaslat kidolgozása, inkább csak az integrált örökségvédelem szemléletét követő hasznosítási irányelveket kívánok megfogalmazni. Olyanokat, melyek megtartják a 19. századi indusztriális társadalom e nemzetközi szinten is egyedülálló emlékének építészeti integritását.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55447">
    <w:multiLevelType w:val="hybridMultilevel"/>
    <w:lvl w:ilvl="0" w:tplc="23753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55447">
    <w:abstractNumId w:val="47955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739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