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SIDÓ</w:t>
            </w:r>
          </w:p>
          <w:p w:rsidR="00C275A3" w:rsidRDefault="00A96AEC" w:rsidP="00C275A3">
            <w:pPr>
              <w:pStyle w:val="Hallgatokepzes"/>
            </w:pPr>
            <w:r>
              <w:t>art history</w:t>
            </w:r>
            <w:r>
              <w:br/>
            </w:r>
            <w:r w:rsidR="00E77B23">
              <w:t>MA, 10.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Sélysette Somorjay</w:t>
            </w:r>
          </w:p>
          <w:p w:rsidR="00DB4822" w:rsidRDefault="00DB4822" w:rsidP="00E11062">
            <w:pPr>
              <w:pStyle w:val="Konzulensek"/>
            </w:pPr>
            <w:r w:rsidRPr="00DB4822">
              <w:t>research fellow,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Plans went up in smoke? The remaining options for integrated heritage conservation in the territory of the former Gas Factory of Óbuda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subject of my research is to identify the options for integrated conservation in the territory of the former Gas Factory of Óbuda. The answer I aim to find is what the notion of integrated conservation means in Hungarian heritage practice today, and what options we have available to put this into practice in the territory of the Gas Factory. My assumption is that the standards of integrated heritage management are to be based on the values drawn from the achievements of basic research. I would like to point out that the multifaceted nature of basic research in terms of methodology, approach and topics, as well as their relevance in the system of the interconnected original functions of the area in themselves justify the application of an integrated approach vis-à-vis heritage management here. I therefore aim at employing this term – often mentioned in Hungarian terminology, but less refined in practice – in examining the contemporary history of the compound (as from 2004), already included in the catalogue of listed buildings. A study into the applicability of an integrated heritage approach is justified even if we know that the reconstruction of the Gas Factory area has already begun. The major part of the territory is owned by Graphisoft Park and used for the operation of IT companies. There is no decision yet on the utilization of the part of the territory that is owned by the Local Government of Óbuda. An endless and vague “discussion” has been in progress since 2004 on utilization and potential uses, and as time goes by, the area still publicly owned gradually decreases. My paper is not aimed at – and being theoretical/scholarly in nature, cannot aim at – elaborating a specific proposal of utilization; instead it puts into words some utilization guidelines based on an integrated heritage management approach that can ensure that the architectural integrity of this vestige of the industrial society of the 19th century, unique as it is even in international comparison, can be preserved.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91183">
    <w:multiLevelType w:val="hybridMultilevel"/>
    <w:lvl w:ilvl="0" w:tplc="282622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91183">
    <w:abstractNumId w:val="885911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53949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