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FEKETE</w:t>
            </w:r>
          </w:p>
          <w:p w:rsidR="00C275A3" w:rsidRDefault="00A96AEC" w:rsidP="00C275A3">
            <w:pPr>
              <w:pStyle w:val="Hallgatokepzes"/>
            </w:pPr>
            <w:r>
              <w:t>Art History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Kovacs</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Compassion and Co-redemption: Carthusian Cell Paintings in the Fourteenth and Fifteenth Century Burgundian Netherlands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Compassion and Co-redemption: Carthusian Cell Paintings in the Fourteenth and Fifteenth Century Burgundian Netherlands</w:t>
      </w:r>
    </w:p>
    <w:p>
      <w:pPr>
        <w:widowControl w:val="on"/>
        <w:pBdr/>
        <w:spacing w:before="240" w:after="240" w:line="240" w:lineRule="auto"/>
        <w:ind w:left="0" w:right="0"/>
        <w:jc w:val="left"/>
      </w:pPr>
      <w:r>
        <w:rPr>
          <w:color w:val="000000"/>
          <w:sz w:val="24"/>
          <w:szCs w:val="24"/>
        </w:rPr>
        <w:br/>
        <w:t xml:space="preserve">Abstract</w:t>
      </w:r>
    </w:p>
    <w:p>
      <w:pPr>
        <w:widowControl w:val="on"/>
        <w:pBdr/>
        <w:spacing w:before="240" w:after="240" w:line="240" w:lineRule="auto"/>
        <w:ind w:left="0" w:right="0"/>
        <w:jc w:val="left"/>
      </w:pPr>
      <w:r>
        <w:rPr>
          <w:color w:val="000000"/>
          <w:sz w:val="24"/>
          <w:szCs w:val="24"/>
        </w:rPr>
        <w:t xml:space="preserve">Since the establishment of Carthusian cell paintings for research in 1959 this type of imagery had not been discussed in the genre’s relative entirety. A group of five images, all depicting Calvary with a Carthusian monk in prayer at the foot of the cross, created in the Burgundian Netherlands during the fourteenth and fifteenth centuries, present an opportunity to fill this gap and examine the style and role of images used in Carthusian private contemplation. The exploration of the various roles and features of the depicted figures serve to highlight the characteristic ways in which members of the Carthusian order empathized and identified with the Passion of Christ and the co-suffering of the Virgin. The features of Carthusian piety are investigated in the light of contemporary documents and the Carthusian monastic literature of the period.</w:t>
      </w:r>
    </w:p>
    <w:p>
      <w:pPr>
        <w:widowControl w:val="on"/>
        <w:pBdr/>
        <w:spacing w:before="240" w:after="240" w:line="240" w:lineRule="auto"/>
        <w:ind w:left="0" w:right="0"/>
        <w:jc w:val="left"/>
      </w:pPr>
      <w:r>
        <w:rPr>
          <w:color w:val="000000"/>
          <w:sz w:val="24"/>
          <w:szCs w:val="24"/>
        </w:rPr>
        <w:t xml:space="preserve">The first chapter examines two aspects of Carthusian life: the habits of the order based on Guigo I’s Rules of the Carthusian Order; and the monks’ cells, which housed these paintings. The latter will be reconstructed primarily from the financial accounts of the Charterhouse of Champmol, extant in the archives in Dijon.</w:t>
      </w:r>
    </w:p>
    <w:p>
      <w:pPr>
        <w:widowControl w:val="on"/>
        <w:pBdr/>
        <w:spacing w:before="240" w:after="240" w:line="240" w:lineRule="auto"/>
        <w:ind w:left="0" w:right="0"/>
        <w:jc w:val="left"/>
      </w:pPr>
      <w:r>
        <w:rPr>
          <w:color w:val="000000"/>
          <w:sz w:val="24"/>
          <w:szCs w:val="24"/>
        </w:rPr>
        <w:t xml:space="preserve">The second chapter aims to compare the compositional features of the cell paintings and analyzes their connections with contemporary meditative writings. This part will focuses on the widely circulated fourteenth century Vita Christi by the Carthusian writer Ludolph of Saxony, as well as the Opera Omnia by his fifteenth century monastic brother Denis the Carthusian. Furthermore, this chapter will investigate the role of the figures portrayed on these panels, and the possible meanings of their presence in the light of Carthusian monastic literature.</w:t>
      </w:r>
    </w:p>
    <w:p>
      <w:pPr>
        <w:widowControl w:val="on"/>
        <w:pBdr/>
        <w:spacing w:before="240" w:after="240" w:line="240" w:lineRule="auto"/>
        <w:ind w:left="0" w:right="0"/>
        <w:jc w:val="left"/>
      </w:pPr>
      <w:r>
        <w:rPr>
          <w:color w:val="000000"/>
          <w:sz w:val="24"/>
          <w:szCs w:val="24"/>
        </w:rPr>
        <w:t xml:space="preserve">As conclusion the study demonstrates how Carthusian meditative rituals referred primarily to the Passion of Christ, and how the Virgin Mary, undergoing her deep compassion for the loss of her divine Son, qualified for the title of Co-redemptrix in Carthusian private devotional imagery.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1096">
    <w:multiLevelType w:val="hybridMultilevel"/>
    <w:lvl w:ilvl="0" w:tplc="37902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1096">
    <w:abstractNumId w:val="41791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9396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