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HEGEDŰS</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Nikoletta Hetényi</w:t>
            </w:r>
          </w:p>
          <w:p w:rsidR="00DB4822" w:rsidRDefault="00DB4822" w:rsidP="00E11062">
            <w:pPr>
              <w:pStyle w:val="Konzulensek"/>
            </w:pPr>
            <w:r w:rsidRPr="00DB4822">
              <w:t>institutional doctor,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long-term effect of two different feed supplements on the growth and health of Greek tortoises (Testudo hermanni)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number of different commercial feeds and supplementations dedicated to reptiles is continuously increasing. Unfortunately the quality and the ingredients not every time meet the requirements of the dedicated species. The aim of our study was to determine the long term effects of two commercial vitamin and mineral supplements (product “A”and “B”) dedicated to reptiles. As their vitamin content were very different (e.g vitamin D3 in “A”: 50 000 IU/kg vs. 2000 IU/kg in “B”), their adequacy was also examined (over dosage or deficiency syndrome).</w:t>
      </w:r>
    </w:p>
    <w:p>
      <w:pPr>
        <w:widowControl w:val="on"/>
        <w:pBdr/>
        <w:spacing w:before="240" w:after="240" w:line="240" w:lineRule="auto"/>
        <w:ind w:left="0" w:right="0"/>
        <w:jc w:val="left"/>
      </w:pPr>
      <w:r>
        <w:rPr>
          <w:color w:val="000000"/>
          <w:sz w:val="24"/>
          <w:szCs w:val="24"/>
        </w:rPr>
        <w:t xml:space="preserve">Twelve one month old male Hermann’s tortoises (Testudo hermanni) were randomly divided into two groups of six animals (group A and B). Tortoises were fed every day once in the morning. Diets were based on garden weeds, supplements were fed on a daily basis. Body weight, straight carapace length, straight plastron length, shell width and shell high were measured weekly for a period of 12 months.</w:t>
      </w:r>
    </w:p>
    <w:p>
      <w:pPr>
        <w:widowControl w:val="on"/>
        <w:pBdr/>
        <w:spacing w:before="240" w:after="240" w:line="240" w:lineRule="auto"/>
        <w:ind w:left="0" w:right="0"/>
        <w:jc w:val="left"/>
      </w:pPr>
      <w:r>
        <w:rPr>
          <w:color w:val="000000"/>
          <w:sz w:val="24"/>
          <w:szCs w:val="24"/>
        </w:rPr>
        <w:t xml:space="preserve">Animals in group B gained significantly faster (p=0.044) than in group A. The shell of the animals in group A was firm and healthy, while in group B – in different manner – all of the tortoises had weakened shell as one of the symptoms of developing metabolic bone disease (MBD).</w:t>
      </w:r>
    </w:p>
    <w:p>
      <w:pPr>
        <w:widowControl w:val="on"/>
        <w:pBdr/>
        <w:spacing w:before="240" w:after="240" w:line="240" w:lineRule="auto"/>
        <w:ind w:left="0" w:right="0"/>
        <w:jc w:val="left"/>
      </w:pPr>
      <w:r>
        <w:rPr>
          <w:color w:val="000000"/>
          <w:sz w:val="24"/>
          <w:szCs w:val="24"/>
        </w:rPr>
        <w:t xml:space="preserve">It can be concluded that the long term use of supplements with only 2000 IU/kg vitamin D3 content leads to deficiency syndromes (MBD). These deficiency syndromes could not have been detected in case of a 6-month-long experience, so long term studies are recommend (minimum 12 months) in such topics. Daily supplementation of calcium (product containing approx. 150 g Ca/kg) and vitamin D3 (product containing approx. 50.000 IU D3/kg) is recommended in order, to avoid MBD. High amount of other vitamins given for safety reason on a daily basis seems to be disadvantageous, because it provokes the accelerated weight gain and consequently leads to the increment of the requirements causing some deficiency syndromes (Ca, D3). Therefore supplements like product “A” are recommended.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820531">
    <w:multiLevelType w:val="hybridMultilevel"/>
    <w:lvl w:ilvl="0" w:tplc="90875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820531">
    <w:abstractNumId w:val="12820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353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