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PÉNTEK ESZTER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Éva</w:t>
            </w:r>
          </w:p>
          <w:p w:rsidR="00DB4822" w:rsidRDefault="00DB4822" w:rsidP="00E11062">
            <w:pPr>
              <w:pStyle w:val="Konzulensek"/>
            </w:pPr>
            <w:r w:rsidRPr="00DB4822">
              <w:t>klinikai főorvos,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Halmay Dóra</w:t>
            </w:r>
          </w:p>
          <w:p w:rsidR="00DB4822" w:rsidRDefault="00DB4822" w:rsidP="00E11062">
            <w:pPr>
              <w:pStyle w:val="Konzulensek"/>
            </w:pPr>
            <w:r w:rsidRPr="00DB4822">
              <w:t>klinikai állatorvos,  Ebcsont Beforr Állatorvosi Rendelő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amiláz, mint lehetséges paraméter macskák krónikus veseelégtelenségének korai diagnosztizálásában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amiláz macskában az egyik legkevésbé vizsgált és a laboratóriumi kérésekben is csak ritkán szereplő paraméter. Ennek egyik oka, hogy – bár nagyrészt a hasnyálmirigy által termelt enzimről van szó – ebben a fajban éppen pancreatitisben nem jellemző az emelkedése. Érdekesebbnek tűnik az enzim egy másik jellemzőjének kihasználása. Természetéből és méretéből adódóan az amiláz kb. 80 %-ban a vesén át választódik ki, a glomerulusokon keresztül filtrálódik, és egy kis része a tubulusokon reabszorbeálódik. A plazmában különböző immunglobulinokkal ás poliszacharidokkal komplexet képez, és ún. makroamiláz keletkezik. Ezek a komplexek fizikai tulajdonságaikat tekintve nagyon heterogén, nagyméretű molekulák, ezért nem tudnak a vizelettel ürülni és visszamaradva nagy enzimaktivitást okoznak a szérumban. A makroamilázokat különböző módszerekkel a normális amiláztól egyértelműen el lehet különíteni, így különbséget lehet tenni a makroamilázémia és a hiperamilázémia között. Tapasztalat szerint idős macskákban a hiperamilázémia legfőbb oka az IRC.</w:t>
      </w:r>
      <w:r>
        <w:rPr>
          <w:color w:val="000000"/>
          <w:sz w:val="24"/>
          <w:szCs w:val="24"/>
        </w:rPr>
        <w:br/>
        <w:t xml:space="preserve">Vizsgálatunk célja annak a hipotézisnek az alátámasztása volt, hogy az amiláz alkalmas lehet az IRC korai detektálására, akár a klinikai tünetek megjelenése előtt. Munkánk során különböző életkorú macskák amiláz és kreatinin értékeinek változását vizsgáltuk. A vizsgálat első részében 2004 és 2011 között a Szent István Egyetem Állatorvos-tudományi Karának Kisállat Klinikáján vizsgált n=923 európai rövidszőrű macska véreredményét dolgoztuk fel különböző statisztikai módszerekkel. Ennek során négy korcsoportot hoztunk létre. A kreatinin értékeket az IRIS veseelégtelenség stádiumokba való besorolása alapján osztottuk fel. A kapott amiláz értékeket normál és emelkedett csoportokra bontottuk. A kapott értékeket a következő szempont alapján dolgoztuk fel: korcsoportonkénti amiláz és kreatinin megoszlás, az egyes korcsoportokon belül a különböző stádiumú veseelégtelenségek szerinti amiláz érték megoszlás.</w:t>
      </w:r>
      <w:r>
        <w:rPr>
          <w:color w:val="000000"/>
          <w:sz w:val="24"/>
          <w:szCs w:val="24"/>
        </w:rPr>
        <w:br/>
        <w:t xml:space="preserve">A vizsgálatunk második felében az amiláz vesén keresztüli ürülését vizsgáltuk n=15 egészséges (kontroll) európai rövidszőrű macska amiláz klírenszének meghatározásával. Ennek során szérum amilázt, vizelet amilázt és amiláz/kreatinin klírensz arányt mértünk módosított IFCC módszerrel.</w:t>
      </w:r>
      <w:r>
        <w:rPr>
          <w:color w:val="000000"/>
          <w:sz w:val="24"/>
          <w:szCs w:val="24"/>
        </w:rPr>
        <w:br/>
        <w:t xml:space="preserve">Összefoglalva megállapítottuk, hogy macskákban a szérum amiláz illetve az amiláz/kreatinin klírensz arány alternatívája lehet az IRC korai felismerésének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64461">
    <w:multiLevelType w:val="hybridMultilevel"/>
    <w:lvl w:ilvl="0" w:tplc="77158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64461">
    <w:abstractNumId w:val="47264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186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