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SCHIFFER</w:t>
            </w:r>
          </w:p>
          <w:p w:rsidR="00C275A3" w:rsidRDefault="00A96AEC" w:rsidP="00C275A3">
            <w:pPr>
              <w:pStyle w:val="Hallgatokepzes"/>
            </w:pPr>
            <w:r>
              <w:t>Veterinary Science</w:t>
            </w:r>
            <w:r>
              <w:br/>
            </w:r>
            <w:r w:rsidR="00E77B23">
              <w:t>Unified, 11.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Orsolya Kutasi</w:t>
            </w:r>
          </w:p>
          <w:p w:rsidR="00DB4822" w:rsidRDefault="00DB4822" w:rsidP="00E11062">
            <w:pPr>
              <w:pStyle w:val="Konzulensek"/>
            </w:pPr>
            <w:r w:rsidRPr="00DB4822">
              <w:t>assistant lecturer (Ph.D.),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possible causes of gastrointestinal colic in a population of police horses focusing on wheather parameters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Examination of possible causes of gastrointestinal colic in a population of police horses focusing on wheather parameters</w:t>
      </w:r>
    </w:p>
    <w:p>
      <w:pPr>
        <w:pBdr/>
        <w:spacing w:before="240" w:after="240" w:line="240" w:lineRule="auto"/>
        <w:ind w:left="0" w:right="0"/>
        <w:jc w:val="left"/>
      </w:pPr>
      <w:r>
        <w:rPr>
          <w:color w:val="000000"/>
          <w:sz w:val="24"/>
          <w:szCs w:val="24"/>
        </w:rPr>
        <w:t xml:space="preserve">The aim of our study was to examine the reasons for numerous colic disorders in the population of police horses. These horses constitute a single population from the point of view of housing, feeding and exercise - they are all geldings or stallions. Most of these were brought upon similar circumstances in the same stud farm of Somogysárd. Therefore the police horse population can be considered a population with relatively few variables.</w:t>
      </w:r>
      <w:r>
        <w:rPr>
          <w:color w:val="000000"/>
          <w:sz w:val="24"/>
          <w:szCs w:val="24"/>
        </w:rPr>
        <w:br/>
        <w:t xml:space="preserve">Data about cases had been collected between 1st January 1993 and 31st December 2011 in the Subdivision of Emergency Police (1087 Budapest, Mosonyi út 5-7.) The horses had to be taken to hospital 61 times and there were 22 operations. Recently they have 37 horses in the police-horse stable, formerly the headcount were between 23-53, but the average was always 40.</w:t>
      </w:r>
      <w:r>
        <w:rPr>
          <w:color w:val="000000"/>
          <w:sz w:val="24"/>
          <w:szCs w:val="24"/>
        </w:rPr>
        <w:br/>
        <w:t xml:space="preserve">The daily exercise had been also classified, based on stress and difficulty – having these data– and impacts on horses were also examined its in my thesis. The feeding and genetic data had been collected too.</w:t>
      </w:r>
      <w:r>
        <w:rPr>
          <w:color w:val="000000"/>
          <w:sz w:val="24"/>
          <w:szCs w:val="24"/>
        </w:rPr>
        <w:br/>
        <w:t xml:space="preserve">The meteorological data from the National Meteorological Service and from the www.omsz.hu web page had been obtained. The data for blast, front, precipitation and temperature had been analyzed. The type of statistical analysis that was used in my examinations was logistical regression. Data were examined from two viewpoints. The first viewpoint is to analyze whether there is any context between the full data lines – colic and single meteorological factors. The second is to see whether there is a relationship between meteorological data, and the day and 7 previous days of the colic sickness.</w:t>
      </w:r>
      <w:r>
        <w:rPr>
          <w:color w:val="000000"/>
          <w:sz w:val="24"/>
          <w:szCs w:val="24"/>
        </w:rPr>
        <w:br/>
        <w:t xml:space="preserve">We found connection between the colic and all of the examined factors. Significant relationship was demonstrated between colic symptoms and the low temperature, the high airpressure, the high temperature range, the genetic background, the daily job, the days, the fodder. Finally we found trends with meteorological and other factors which are not significant.</w:t>
      </w:r>
      <w:r>
        <w:rPr>
          <w:color w:val="000000"/>
          <w:sz w:val="24"/>
          <w:szCs w:val="24"/>
        </w:rPr>
        <w:br/>
        <w:t xml:space="preserve">With these results in mind, all horse-keeper, such as the police station can form the daily-weekly timetable of the horses, manage the breeding, -feeding technology, to decrease the incidence of the colic illnesses.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88736">
    <w:multiLevelType w:val="hybridMultilevel"/>
    <w:lvl w:ilvl="0" w:tplc="44883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88736">
    <w:abstractNumId w:val="66288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024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