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KINGA</w:t>
            </w:r>
          </w:p>
          <w:p w:rsidR="00C275A3" w:rsidRDefault="00A96AEC" w:rsidP="00C275A3">
            <w:pPr>
              <w:pStyle w:val="Hallgatokepzes"/>
            </w:pPr>
            <w:r>
              <w:t>Biológia</w:t>
            </w:r>
            <w:r>
              <w:br/>
            </w:r>
            <w:r w:rsidR="00E77B23">
              <w:t>BSc, 5. félév</w:t>
            </w:r>
          </w:p>
          <w:p w:rsidR="00C265CE" w:rsidRPr="009E5FF1" w:rsidRDefault="00E77B23" w:rsidP="00C275A3">
            <w:pPr>
              <w:pStyle w:val="Hallgatokepzes"/>
              <w:rPr>
                <w:b/>
                <w:caps/>
              </w:rPr>
            </w:pPr>
            <w:r>
              <w:t>Szent István Egyetem</w:t>
            </w:r>
            <w:r w:rsidR="00C275A3">
              <w:br/>
            </w:r>
            <w:r w:rsidR="00DB4822">
              <w:t>Állatorvos-tudományi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Gócza Elen</w:t>
            </w:r>
          </w:p>
          <w:p w:rsidR="00DB4822" w:rsidRDefault="00DB4822" w:rsidP="00E11062">
            <w:pPr>
              <w:pStyle w:val="Konzulensek"/>
            </w:pPr>
            <w:r w:rsidRPr="00DB4822">
              <w:t>tudományos munkatárs,  Mezőgazdasági Biotechnológiai Kutatóközpont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Solid szekvenálással kapott nyúl mikroRNS szekvenciák validálása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elmúlt évtizedek kutatásai során derült fény a miRNS-ek létezésére, és fontos génregulációs szerepükre. A miRNS-ek olyan 21-26 nukleotid hosszú, fehérjét nem kódoló, egyszálú RNS molekulák, amelyek alapvető szabályozó funkciók érzékeny beállításában vesznek részt. Szabályozó szerepüket a gének poszttranszkripcionális módosítása során fejtik ki azáltal, hogy az mRNS 3’ végén található nem transzlálódó régióhoz (UTR, Untranslated Region) kötődnek és ott a transzlációt gátolják, vagy az mRNS degradációját okozzák. A miRbase adatbázisban több mint 1000 humán (Homo sapiens), és több mint 800 egér (Mus musculus) miRNS szerepel, egyelőre azonban nem közöltek nyúl (Oryctolagus cuniculus) miRNS szekvenciákat. Számos kutatás irányul egyes sejttípusokra, vagy megbetegedésekre specifikusan jellemző miRNS expressziós mintázatok meghatározására.</w:t>
      </w:r>
    </w:p>
    <w:p>
      <w:pPr>
        <w:widowControl w:val="on"/>
        <w:pBdr/>
        <w:spacing w:before="240" w:after="240" w:line="240" w:lineRule="auto"/>
        <w:ind w:left="0" w:right="0"/>
        <w:jc w:val="left"/>
      </w:pPr>
      <w:r>
        <w:rPr>
          <w:color w:val="000000"/>
          <w:sz w:val="24"/>
          <w:szCs w:val="24"/>
        </w:rPr>
        <w:t xml:space="preserve">Jelen dolgozatom célja annak a hipotézisnek a tesztelése volt, hogy a Solid szekvenálás során kapott találatszámok miRNS expresszió becslésre alkalmasak, valamint egy olyan módszer kidolgozása, amellyel a Solid szekvenálás során kapott adatok összehasonlíthatóak a real-time PCR analízis során kapott eredményekkel. Solid szekvenálással kapott egér és nyúl fibroblaszt, valamint 13 és fél napos nyúl embrió minták szekvencia adataiban kerestük már leírt, humán és egér mikroRNS-ek homológjait. Ezek után egér és nyúl fibroblasztból, valamint 13 és fél napos nyúl embrióból izolált RNS mintákban real-time PCR analízissel vizsgáltuk különböző miRNS-ek jelenlétét és expressziós szintjét. Végül összehasonlítottuk a két módszerrel kapott adatokat.</w:t>
      </w:r>
    </w:p>
    <w:p>
      <w:pPr>
        <w:widowControl w:val="on"/>
        <w:pBdr/>
        <w:spacing w:before="240" w:after="240" w:line="240" w:lineRule="auto"/>
        <w:ind w:left="0" w:right="0"/>
        <w:jc w:val="left"/>
      </w:pPr>
      <w:r>
        <w:rPr>
          <w:color w:val="000000"/>
          <w:sz w:val="24"/>
          <w:szCs w:val="24"/>
        </w:rPr>
        <w:t xml:space="preserve">Eredményeink alapján azt mondhatjuk, hogy a Solid szekvenálás során kapott találatszámok egy az egyben nem hasonlíthatóak össze a real-time PCR analízis során kapott relatív expressziós értékekkel, pontos génexpressziós mintázat általuk nem írható le. Bár egyes esetekben nagyságrendi becslést végezhetünk, ezek megbízhatósága igen kicsi, pontos arányok meghatározására pedig egyáltalán nem alkalmas.</w:t>
      </w:r>
    </w:p>
    <w:p>
      <w:pPr>
        <w:widowControl w:val="on"/>
        <w:pBdr/>
        <w:spacing w:before="240" w:after="240" w:line="240" w:lineRule="auto"/>
        <w:ind w:left="0" w:right="0"/>
        <w:jc w:val="left"/>
      </w:pPr>
      <w:r>
        <w:rPr>
          <w:color w:val="000000"/>
          <w:sz w:val="24"/>
          <w:szCs w:val="24"/>
        </w:rPr>
        <w:t xml:space="preserve">Feltételezéseink szerint pontosabb összehasonlítást tenne lehetővé az RNAzol reagensbe felvett RNS preparátumok használata, mivel így lehetővé válna a teljes miRNS koncentrációhoz viszonyítani az egyes gének expresszióját. Ugyan ezt az összehasonlítást megtehetjük a Solid szekvencia adatokkal is, hiszen ott is tudjuk, hogy az összes találatszámból mennyi lehet a miRNS. Így talán közelebb hozhatnánk a két módszer eredményeit egymáshoz, és fel tudnánk állítani egy összehasonlítási skálát.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52528">
    <w:multiLevelType w:val="hybridMultilevel"/>
    <w:lvl w:ilvl="0" w:tplc="49211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52528">
    <w:abstractNumId w:val="514525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8110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