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BUDAI</w:t>
            </w:r>
          </w:p>
          <w:p w:rsidR="00C275A3" w:rsidRDefault="00A96AEC" w:rsidP="00C275A3">
            <w:pPr>
              <w:pStyle w:val="Hallgatokepzes"/>
            </w:pPr>
            <w:r>
              <w:t>Hungarian Language and Literature Studies</w:t>
            </w:r>
            <w:r>
              <w:br/>
            </w:r>
            <w:r w:rsidR="00E77B23">
              <w:t>MSc, 1. semester</w:t>
            </w:r>
          </w:p>
          <w:p w:rsidR="00C265CE" w:rsidRPr="009E5FF1" w:rsidRDefault="00E77B23" w:rsidP="00C275A3">
            <w:pPr>
              <w:pStyle w:val="Hallgatokepzes"/>
              <w:rPr>
                <w:b/>
                <w:caps/>
              </w:rPr>
            </w:pPr>
            <w:r>
              <w:t>University of Miskolc</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Mrs. Simig Sarolta Fenyő Dr.</w:t>
            </w:r>
          </w:p>
          <w:p w:rsidR="00DB4822" w:rsidRDefault="00DB4822" w:rsidP="00E11062">
            <w:pPr>
              <w:pStyle w:val="Konzulensek"/>
            </w:pPr>
            <w:r w:rsidRPr="00DB4822">
              <w:t>senior lecturer, associate professor,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meaning of the lexemes “good” and ”bad” in different contexts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words “good” and „bad” belong to the frequently used ones in the vocabulary system of the Hungarian language. Hungarian-speaking people are aware of the meaning of these lexical units. In spite of this, few people take notice of the fact that these lexical units behave differently and have a number of meanings in different contexts. When connected to other lexical units (e.g. verbs) they can express intensification and qualitative content of meaning.</w:t>
      </w:r>
    </w:p>
    <w:p>
      <w:pPr>
        <w:pBdr/>
        <w:spacing w:before="240" w:after="240" w:line="240" w:lineRule="auto"/>
        <w:ind w:left="0" w:right="0"/>
        <w:jc w:val="left"/>
      </w:pPr>
      <w:r>
        <w:rPr>
          <w:color w:val="000000"/>
          <w:sz w:val="24"/>
          <w:szCs w:val="24"/>
        </w:rPr>
        <w:t xml:space="preserve">The primary objective of the present paper is to investigate and then, on the basis of examples illustrate what meanings the lexemes „good” and „bad” may obtain in different contexts. Another objective is to find the answer to the following questions: In what circumstances do these lexemes express intensification in a given context? Can their ability to express intensification be observed in each case when they occur in a text?</w:t>
      </w:r>
    </w:p>
    <w:p>
      <w:pPr>
        <w:pBdr/>
        <w:spacing w:before="240" w:after="240" w:line="240" w:lineRule="auto"/>
        <w:ind w:left="0" w:right="0"/>
        <w:jc w:val="left"/>
      </w:pPr>
      <w:r>
        <w:rPr>
          <w:color w:val="000000"/>
          <w:sz w:val="24"/>
          <w:szCs w:val="24"/>
        </w:rPr>
        <w:t xml:space="preserve">My research consists of a theoretical and an empirical part. The theoretical framework was compiled based on studies by Gábor Székely on the subject of gradation and intensification. For the empirical part 503 examples containing the lexemes “good” and “bad” were collected from the novel The Man with the Golden Touch (orig. The Golden Man) by the great Hungarian writer Mór Jókai. The examples were arranged in groups according to semantic and morphological-syntactic levels.</w:t>
      </w:r>
    </w:p>
    <w:p>
      <w:pPr>
        <w:pBdr/>
        <w:spacing w:before="240" w:after="240" w:line="240" w:lineRule="auto"/>
        <w:ind w:left="0" w:right="0"/>
        <w:jc w:val="left"/>
      </w:pPr>
      <w:r>
        <w:rPr>
          <w:color w:val="000000"/>
          <w:sz w:val="24"/>
          <w:szCs w:val="24"/>
        </w:rPr>
        <w:t xml:space="preserve">It has been demonstrated by quantitative analysis that the lexemes “good” and “bad” occupying a central position in the study receive different meanings determined by the contexts they occur in. As regards intensification, the study shows, that it is only the lexeme “good” that can function as an augmentative element in a phrase with the meaning of intensification. This proves not only the fact of intensification but the presence of qualitative content of meaning as well.</w:t>
      </w:r>
    </w:p>
    <w:p>
      <w:pPr>
        <w:pBdr/>
        <w:spacing w:before="240" w:after="240" w:line="240" w:lineRule="auto"/>
        <w:ind w:left="0" w:right="0"/>
        <w:jc w:val="left"/>
      </w:pPr>
      <w:r>
        <w:rPr>
          <w:color w:val="000000"/>
          <w:sz w:val="24"/>
          <w:szCs w:val="24"/>
        </w:rPr>
        <w:t xml:space="preserve">The conclusions drawn by the study explore, first of all, the relationship between the actual and the lexical meaning of the words, and besides this they set further aims. This research is also important from the point of view of translation studies, the translator and the text to be translated. A future research important for translation studies as well can give the answer to the following questions: In what contexts did the translator use the dictionary equivalents of the Hungarian words „good” and „bad”? Is there correspondence (concerning the translation of the lexemes examined) between the original Hungarian text and its translated version?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130714">
    <w:multiLevelType w:val="hybridMultilevel"/>
    <w:lvl w:ilvl="0" w:tplc="141077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130714">
    <w:abstractNumId w:val="141307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88240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