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SOTKÓ</w:t>
            </w:r>
          </w:p>
          <w:p w:rsidR="00C275A3" w:rsidRDefault="00A96AEC" w:rsidP="00C275A3">
            <w:pPr>
              <w:pStyle w:val="Hallgatokepzes"/>
            </w:pPr>
            <w:r>
              <w:t>Deutsch- Geschichte- Lehrerbildung</w:t>
            </w:r>
            <w:r>
              <w:br/>
            </w:r>
            <w:r w:rsidR="00E77B23">
              <w:t>MSc, 9. semester</w:t>
            </w:r>
          </w:p>
          <w:p w:rsidR="00C265CE" w:rsidRPr="009E5FF1" w:rsidRDefault="00E77B23" w:rsidP="00C275A3">
            <w:pPr>
              <w:pStyle w:val="Hallgatokepzes"/>
              <w:rPr>
                <w:b/>
                <w:caps/>
              </w:rPr>
            </w:pPr>
            <w:r>
              <w:t>Universität Miskolc</w:t>
            </w:r>
            <w:r w:rsidR="00C275A3">
              <w:br/>
            </w:r>
            <w:r w:rsidR="00DB4822">
              <w:t>Fakultät für Geisteswissenschaften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Frau Kegyes Dr. Szekeres Erika</w:t>
            </w:r>
          </w:p>
          <w:p w:rsidR="00DB4822" w:rsidRDefault="00DB4822" w:rsidP="00E11062">
            <w:pPr>
              <w:pStyle w:val="Konzulensek"/>
            </w:pPr>
            <w:r w:rsidRPr="00DB4822">
              <w:t>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Intertextualität in den Kindermärchen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Das Thema meiner Arbeit im wissenschaftlichen Studienkreis ist die Analyse der verschiedenen Arten der Intertextualität und Intermedialität im Fall der deutschen Grimm-Märchen und in ihren Bearbeitungen. Aus dem Wort „Intertextualität“ können wir sofort auf die Zielsetzung meiner Arbeit schließen: hier geht es um eine enge Verbindung zwischen zwei oder mehreren deutschen Märchentexte in verschiedenen Formen. Ich habe diese engen Verbindungen nach meinen bestimmten Gesichtspunkten besser erkannt und auch dem Lesern vorgestellt. In meiner Arbeit habe ich mich also damit beschäftigen, dass ich verschiedene Formen der Grimm-Märchen, durch die Intertextualitätstheorien beschreibe. Ich habe nicht nur die textförmigen sondern auch die modernen multimedialen Formen (Filme, Zeichentrickfilme, Comics) der Kindermärchen in meiner Arbeit unter die Lupe genommen, damit wir ein zusammengesetztes Bild über die Intertextualität der Märchen bekommen. Wir können also eindeutig feststellen, dass dieses Thema eine starke interdisziplinäre Bedeutung hat.</w:t>
      </w:r>
    </w:p>
    <w:p>
      <w:pPr>
        <w:pBdr/>
        <w:spacing w:before="240" w:after="240" w:line="240" w:lineRule="auto"/>
        <w:ind w:left="0" w:right="0"/>
        <w:jc w:val="left"/>
      </w:pPr>
      <w:r>
        <w:rPr>
          <w:color w:val="000000"/>
          <w:sz w:val="24"/>
          <w:szCs w:val="24"/>
        </w:rPr>
        <w:t xml:space="preserve">Ich habe dieses Thema gewählt, weil ich mich früher schon mehrmals mit dem Thema des deutschen Kindermärchens beschäftigt habe und es interessiert mich in der komparativen Literaturwissenschaft sehr. Während meiner bisherigen Arbeit ist mir die Frage einmal aufgefallen: Wie wirken die Modernisierungsprozesse unserer Welt auf die Kindermärchen, auf die Grimm-Märchen. Als Ausgangspunkt meiner Arbeit und Forschung habe ich daneben einige interessanten Fragen gestellt, die ich in meiner Arbeit beantwortet habe: Was bedeutet eigentlich Intertextualität? Welche Arten der Intertextualität können voneinander unterschieden werden? Welche Zusammenhänge können wir zwischen den Formen dieser Kindermärchen finden? Wie kommen die Märchentexte in unserem alltäglichen Leben vor?</w:t>
      </w:r>
    </w:p>
    <w:p>
      <w:pPr>
        <w:pBdr/>
        <w:spacing w:before="240" w:after="240" w:line="240" w:lineRule="auto"/>
        <w:ind w:left="0" w:right="0"/>
        <w:jc w:val="left"/>
      </w:pPr>
      <w:r>
        <w:rPr>
          <w:color w:val="000000"/>
          <w:sz w:val="24"/>
          <w:szCs w:val="24"/>
        </w:rPr>
        <w:t xml:space="preserve">Zusammengefasst könnte ich sagen, dass die Märchen sehr vielfältige Bearbeitungsvarianten haben. Es ist auch leicht zu sehen, dass die Märchen heute anders beurteilt werden als früher: die Kinoversionen der Märchen werden nicht den Kindern produziert. Damit verbreitet sich der Zuschauerkreis, aber wir können gleichzeitig auch einen Wertverlust beobachten. Das ergibt sich eindeutig aus den Merkmalen der Kinomärchen, die wir für Kassenerfolg halten. Obwohl diese Bearbeitungen einen anderen Stil darstellen, geben sie uns guten Anlass, die Veränderung der Sprache, der Handlung und der Medien zu forschen.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13653">
    <w:multiLevelType w:val="hybridMultilevel"/>
    <w:lvl w:ilvl="0" w:tplc="39671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13653">
    <w:abstractNumId w:val="137136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7074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