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FAZEKAS</w:t>
            </w:r>
          </w:p>
          <w:p w:rsidR="00C275A3" w:rsidRDefault="00A96AEC" w:rsidP="00C275A3">
            <w:pPr>
              <w:pStyle w:val="Hallgatokepzes"/>
            </w:pPr>
            <w:r>
              <w:t>Library and Information Science </w:t>
            </w:r>
            <w:r>
              <w:br/>
            </w:r>
            <w:r w:rsidR="00E77B23">
              <w:t>MA, 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Varga</w:t>
            </w:r>
          </w:p>
          <w:p w:rsidR="00DB4822" w:rsidRDefault="00DB4822" w:rsidP="00E11062">
            <w:pPr>
              <w:pStyle w:val="Konzulensek"/>
            </w:pPr>
            <w:r w:rsidRPr="00DB4822">
              <w:t>associate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information literacy as a competence in the elementary school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academic essay is the appearance of information literacy as a competence in the elementary school education, mainly in the upper grade textbooks. There are some good initiatives in this field, but they are mostly in theory, not in practice. However some ideal ambitions are worth to take into consideration. In my essay I analyse the actual situation which is based on the connected literature and my research.</w:t>
      </w:r>
    </w:p>
    <w:p>
      <w:pPr>
        <w:widowControl w:val="on"/>
        <w:pBdr/>
        <w:spacing w:before="240" w:after="240" w:line="240" w:lineRule="auto"/>
        <w:ind w:left="0" w:right="0"/>
        <w:jc w:val="left"/>
      </w:pPr>
      <w:r>
        <w:rPr>
          <w:color w:val="000000"/>
          <w:sz w:val="24"/>
          <w:szCs w:val="24"/>
        </w:rPr>
        <w:t xml:space="preserve">In the first part I overview the most important concepts of information literacy: the definitions, the elementary school models, the requirements, the international standards, and the relation between education, school library and information literacy.</w:t>
      </w:r>
    </w:p>
    <w:p>
      <w:pPr>
        <w:widowControl w:val="on"/>
        <w:pBdr/>
        <w:spacing w:before="240" w:after="240" w:line="240" w:lineRule="auto"/>
        <w:ind w:left="0" w:right="0"/>
        <w:jc w:val="left"/>
      </w:pPr>
      <w:r>
        <w:rPr>
          <w:color w:val="000000"/>
          <w:sz w:val="24"/>
          <w:szCs w:val="24"/>
        </w:rPr>
        <w:t xml:space="preserve">After this part I write about the textbook research, the textbook analysis models and the type of the exercises in the textbooks. My research is based on the textbook and the exercise analysis. I examined with this method how information literacy appears in different subjects’ textbooks such as biology, geography, history, Hungarian grammar and literature.</w:t>
      </w:r>
    </w:p>
    <w:p>
      <w:pPr>
        <w:widowControl w:val="on"/>
        <w:pBdr/>
        <w:spacing w:before="240" w:after="240" w:line="240" w:lineRule="auto"/>
        <w:ind w:left="0" w:right="0"/>
        <w:jc w:val="left"/>
      </w:pPr>
      <w:r>
        <w:rPr>
          <w:color w:val="000000"/>
          <w:sz w:val="24"/>
          <w:szCs w:val="24"/>
        </w:rPr>
        <w:t xml:space="preserve">I chose the exercise types to be representative and to fulfill the requirements of information literacy. Where it was possible I chose school library exercise to show the connection between two fields. The aim of the research in this part is not a comparative textbook analysis, but an analysis and representation of task types through accidentally chosen various materials.</w:t>
      </w:r>
    </w:p>
    <w:p>
      <w:pPr>
        <w:widowControl w:val="on"/>
        <w:pBdr/>
        <w:spacing w:before="240" w:after="240" w:line="240" w:lineRule="auto"/>
        <w:ind w:left="0" w:right="0"/>
        <w:jc w:val="left"/>
      </w:pPr>
      <w:r>
        <w:rPr>
          <w:color w:val="000000"/>
          <w:sz w:val="24"/>
          <w:szCs w:val="24"/>
        </w:rPr>
        <w:t xml:space="preserve">During my research I found out that in most of the subjects and textbooks information literacy does appear as a competence, but there are only few exercises which would develop this competence in a complex way. Usually the exercises contain only certain elements of information literacy.</w:t>
      </w:r>
    </w:p>
    <w:p>
      <w:pPr>
        <w:widowControl w:val="on"/>
        <w:pBdr/>
        <w:spacing w:before="240" w:after="240" w:line="240" w:lineRule="auto"/>
        <w:ind w:left="0" w:right="0"/>
        <w:jc w:val="left"/>
      </w:pPr>
      <w:r>
        <w:rPr>
          <w:color w:val="000000"/>
          <w:sz w:val="24"/>
          <w:szCs w:val="24"/>
        </w:rPr>
        <w:t xml:space="preserve">Finally I planned a sample Hungarian literature lesson and the topic was Sándor Petőfi’s poem, Szülőföldemen. I collected the exercises to develop especially the pupils’ information literacy skills and they could gain traditional literary knowledge and library usage information as well.</w:t>
      </w:r>
    </w:p>
    <w:p>
      <w:pPr>
        <w:widowControl w:val="on"/>
        <w:pBdr/>
        <w:spacing w:before="240" w:after="240" w:line="240" w:lineRule="auto"/>
        <w:ind w:left="0" w:right="0"/>
        <w:jc w:val="left"/>
      </w:pPr>
      <w:r>
        <w:rPr>
          <w:color w:val="000000"/>
          <w:sz w:val="24"/>
          <w:szCs w:val="24"/>
        </w:rPr>
        <w:t xml:space="preserve">In the last part of my essay after a short summary of the main idea, I write about the future possibilities for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81137">
    <w:multiLevelType w:val="hybridMultilevel"/>
    <w:lvl w:ilvl="0" w:tplc="85434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81137">
    <w:abstractNumId w:val="63781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218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