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DEMÉNY ENIKŐ</w:t>
            </w:r>
          </w:p>
          <w:p w:rsidR="00C275A3" w:rsidRDefault="00A96AEC" w:rsidP="00C275A3">
            <w:pPr>
              <w:pStyle w:val="Hallgatokepzes"/>
            </w:pPr>
            <w:r>
              <w:t>kulturális mediáció</w:t>
            </w:r>
            <w:r>
              <w:br/>
            </w:r>
            <w:r w:rsidR="00E77B23">
              <w:t>MA, 3. félév</w:t>
            </w:r>
          </w:p>
          <w:p w:rsidR="00C265CE" w:rsidRPr="009E5FF1" w:rsidRDefault="00E77B23" w:rsidP="00C275A3">
            <w:pPr>
              <w:pStyle w:val="Hallgatokepzes"/>
              <w:rPr>
                <w:b/>
                <w:caps/>
              </w:rPr>
            </w:pPr>
            <w:r>
              <w:t>Pécsi Tudományegyetem</w:t>
            </w:r>
            <w:r w:rsidR="00C275A3">
              <w:br/>
            </w:r>
            <w:r w:rsidR="00DB4822">
              <w:t>Felnőttképzési és Emberi Erőforrás 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Kleisz Teréz</w:t>
            </w:r>
          </w:p>
          <w:p w:rsidR="00DB4822" w:rsidRDefault="00DB4822" w:rsidP="00E11062">
            <w:pPr>
              <w:pStyle w:val="Konzulensek"/>
            </w:pPr>
            <w:r w:rsidRPr="00DB4822">
              <w:t>egyetemi docens, PTE FEEK</w:t>
            </w:r>
          </w:p>
        </w:tc>
      </w:tr>
      <w:tr w:rsidR="00DB4822" w:rsidTr="00DB4822">
        <w:tc>
          <w:tcPr>
            <w:tcW w:w="9854" w:type="dxa"/>
          </w:tcPr>
          <w:p w:rsidR="00DB4822" w:rsidRPr="00DB4822" w:rsidRDefault="00DB4822" w:rsidP="004D7940">
            <w:pPr>
              <w:pStyle w:val="Konzulensek"/>
            </w:pPr>
            <w:r w:rsidRPr="00DB4822">
              <w:t>Szécsi Gábor</w:t>
            </w:r>
          </w:p>
          <w:p w:rsidR="00DB4822" w:rsidRDefault="00DB4822" w:rsidP="00E11062">
            <w:pPr>
              <w:pStyle w:val="Konzulensek"/>
            </w:pPr>
            <w:r w:rsidRPr="00DB4822">
              <w:t>egyetemi docens,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lakótelepi megújulás lehetőségei a közterek, közösségek és a helyi identitás vonatkozásában a pécsi uránvárosi folyamat példáján keresztül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EKF projekt uránvárosi jelentőségét a fizikai és a társadalmi megújulás folyamatainak kereszteződése adja. A Közterek és parkok megújulása kulcsprojekt keretében felújított uránvárosi főtér az uránvárosi köztérben végbement legnagyobb változásnak számít az elmúlt húsz évben. Az EKF nem csupán a lakótelep főterének és játszóterének megújulását tette lehetővé, hanem olyan kulturális-társadalmi programoknak is helyet adott, amelyek a 21. századi városmegújító gyakorlatok módszereivel (pl. köztéri művészet) kívánták meg újrafogalmazni a helyi társadalom, közösségek és identitás releváns kérdéseit. A társadalmi megújulás motivációi között szerepelt az uránvárosi lakosok helyhez való kötődésének megerősítése, az uránvárosi identitást felmutató szociokulturális köztéri művészeti alkotás létrehozása, a lakosok jó szomszédi viszonyainak a felelevenítése, a közösségépítés és a helyi társadalom bevonása a saját környezetüket érintő kérdésekbe. Nem célom az egyes programelemek részletes bemutatása és lefolyásának elemzése. Helyette az ezeket kezdeményező építészek, művészek és művészeti menedzserek sajátos attitűdjeit szeretném feltárni. Kutatásom egyik alapkérdése az volt, hogy az együttműködő szereplők milyennek látják saját és egymás cselekedeteiket az együttműködés folyamatában. Az interjúkérdéseimre érkezett válaszok felfedik a városmegújítás folyamatába becsatlakozó társadalmi szereplők különböző motivációit, az együttműködést nehezítő vagy meghiúsító okokat, valamint a kooperatív (város)tervezést gátló helyi tényezőket. A társadalmi szereplők egymás mellé kerülő széttartó magyarázatai és értelmezései ugyanakkor rámutatnak azokra a kritikus pontokra, amelyeket egy jövőbeni lehetséges részvételi lakótelepi megújulás szervezeti felépítésekor figyelembe kell venni a hatékonyabb együttműködés céljából.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08302">
    <w:multiLevelType w:val="hybridMultilevel"/>
    <w:lvl w:ilvl="0" w:tplc="21495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08302">
    <w:abstractNumId w:val="21608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3365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