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BRÁZ</w:t>
            </w:r>
          </w:p>
          <w:p w:rsidR="00C275A3" w:rsidRDefault="00A96AEC" w:rsidP="00C275A3">
            <w:pPr>
              <w:pStyle w:val="Hallgatokepzes"/>
            </w:pPr>
            <w:r>
              <w:t>pedagogy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Ugrai Ph.D.</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Captivity of the everydays - Children’s perspectives of the way out from poverty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school disadvantaged pupils have to face not just general academic expectations and requirements but very different other challenges as well, which often make their everydays very tough to deal with. These challenges are kindled by the surrounding social background from where comes a little or no support at all. How can a pedagogue handle the children's reactions to these challenges? What kind of activities are in top priority as a simple primary school teacher when it turns out that the class has not just one or two problem child but it's fully made out of those? These are one of the most important and prominent questions of the education nowadays. During my year-long work I observed in such class mentioned above and as a result I have managed to collect data enough to give an extensive view about that kind of environment's life, problems, emerging needs and their endeavours trying to find at least an instantaneous solution.</w:t>
      </w:r>
      <w:r>
        <w:rPr>
          <w:color w:val="000000"/>
          <w:sz w:val="24"/>
          <w:szCs w:val="24"/>
        </w:rPr>
        <w:br/>
        <w:t xml:space="preserve">Especially in the county Borsod-Abaúj-Zemplén these conditions mean an urgent and still unsolved matter. The pedagogues and the experts who feel the calling and before everything else have already experienced what it takes to look after disadvantaged children know: the task isn't easy. But even if it's hard or uncomfortable in my opinion for a pedagogue student it is essential not to avoid real contact with children particularly when they are research subjects. That's why I decided my project should include statements based on my own experiences. With it I would like to broaden the circle of former investigations on the matter, which can prove that the presence of disadvantaged children is such section of the education, in which countless changes and solutions have to be created, until eventually something worthwhile occurs.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94440">
    <w:multiLevelType w:val="hybridMultilevel"/>
    <w:lvl w:ilvl="0" w:tplc="90778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94440">
    <w:abstractNumId w:val="41294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841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