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BÉLA DURUCZ</w:t>
            </w:r>
          </w:p>
          <w:p w:rsidR="00C275A3" w:rsidRDefault="00A96AEC" w:rsidP="00C275A3">
            <w:pPr>
              <w:pStyle w:val="Hallgatokepzes"/>
            </w:pPr>
            <w:r>
              <w:t>Institute of Instrumentation and Automation</w:t>
            </w:r>
            <w:r>
              <w:br/>
            </w:r>
            <w:r w:rsidR="00E77B23">
              <w:t>BSc, 5. semester</w:t>
            </w:r>
          </w:p>
          <w:p w:rsidR="00C265CE" w:rsidRPr="009E5FF1" w:rsidRDefault="00E77B23" w:rsidP="00C275A3">
            <w:pPr>
              <w:pStyle w:val="Hallgatokepzes"/>
              <w:rPr>
                <w:b/>
                <w:caps/>
              </w:rPr>
            </w:pPr>
            <w:r>
              <w:t>Óbuda University</w:t>
            </w:r>
            <w:r w:rsidR="00C275A3">
              <w:br/>
            </w:r>
            <w:r w:rsidR="00DB4822">
              <w:t>Kálmán Kandó Faculty of Electrical Engineering</w:t>
            </w:r>
          </w:p>
        </w:tc>
        <w:tc>
          <w:tcPr>
            <w:tcW w:w="4914" w:type="dxa"/>
          </w:tcPr>
          <w:p w:rsidR="00DB4822" w:rsidRPr="00DB4822" w:rsidRDefault="00DB4822" w:rsidP="004D7940">
            <w:pPr>
              <w:pStyle w:val="Hallgatonev"/>
              <w:rPr>
                <w:caps/>
              </w:rPr>
            </w:pPr>
            <w:r w:rsidRPr="00DB4822">
              <w:rPr>
                <w:caps/>
              </w:rPr>
              <w:t>DÁVID ZAKARIÁS</w:t>
            </w:r>
          </w:p>
          <w:p w:rsidR="00DB4822" w:rsidRDefault="00C275A3" w:rsidP="004D7940">
            <w:pPr>
              <w:pStyle w:val="Hallgatokepzes"/>
            </w:pPr>
            <w:r>
              <w:t>Faculty of Medicine</w:t>
            </w:r>
            <w:r w:rsidR="00A96AEC">
              <w:br/>
              <w:t>Unified, 7. semester</w:t>
            </w:r>
          </w:p>
          <w:p w:rsidR="00DB4822" w:rsidRDefault="00DB4822" w:rsidP="004D7940">
            <w:pPr>
              <w:pStyle w:val="Hallgatointezmeny-kar"/>
            </w:pPr>
            <w:r>
              <w:t>Semmelweis University</w:t>
            </w:r>
          </w:p>
          <w:p w:rsidR="00C265CE" w:rsidRPr="009E5FF1" w:rsidRDefault="00DB4822" w:rsidP="004D7940">
            <w:pPr>
              <w:pStyle w:val="Hallgatointezmeny-kar"/>
              <w:rPr>
                <w:b/>
                <w:caps/>
              </w:rPr>
            </w:pPr>
            <w:r>
              <w:t>Faculty of Medicine</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György Schuster</w:t>
            </w:r>
          </w:p>
          <w:p w:rsidR="00DB4822" w:rsidRDefault="00DB4822" w:rsidP="00E11062">
            <w:pPr>
              <w:pStyle w:val="Konzulensek"/>
            </w:pPr>
            <w:r w:rsidRPr="00DB4822">
              <w:t>PhD, docent, OE KVK</w:t>
            </w:r>
          </w:p>
        </w:tc>
      </w:tr>
      <w:tr w:rsidR="00DB4822" w:rsidTr="00DB4822">
        <w:tc>
          <w:tcPr>
            <w:tcW w:w="9854" w:type="dxa"/>
          </w:tcPr>
          <w:p w:rsidR="00DB4822" w:rsidRPr="00DB4822" w:rsidRDefault="00DB4822" w:rsidP="004D7940">
            <w:pPr>
              <w:pStyle w:val="Konzulensek"/>
            </w:pPr>
            <w:r w:rsidRPr="00DB4822">
              <w:t>Dr. Miklós Szabó</w:t>
            </w:r>
          </w:p>
          <w:p w:rsidR="00DB4822" w:rsidRDefault="00DB4822" w:rsidP="00E11062">
            <w:pPr>
              <w:pStyle w:val="Konzulensek"/>
            </w:pPr>
            <w:r w:rsidRPr="00DB4822">
              <w:t>PhD, docent, SE ÁOK</w:t>
            </w:r>
          </w:p>
        </w:tc>
      </w:tr>
      <w:tr w:rsidR="00DB4822" w:rsidTr="00DB4822">
        <w:tc>
          <w:tcPr>
            <w:tcW w:w="9854" w:type="dxa"/>
          </w:tcPr>
          <w:p w:rsidR="00DB4822" w:rsidRPr="00DB4822" w:rsidRDefault="00DB4822" w:rsidP="004D7940">
            <w:pPr>
              <w:pStyle w:val="Konzulensek"/>
            </w:pPr>
            <w:r w:rsidRPr="00DB4822">
              <w:t>Dr. Gábor Marics</w:t>
            </w:r>
          </w:p>
          <w:p w:rsidR="00DB4822" w:rsidRDefault="00DB4822" w:rsidP="00E11062">
            <w:pPr>
              <w:pStyle w:val="Konzulensek"/>
            </w:pPr>
            <w:r w:rsidRPr="00DB4822">
              <w:t>PhD student, SE ÁOK</w:t>
            </w:r>
          </w:p>
        </w:tc>
      </w:tr>
      <w:tr w:rsidR="00DB4822" w:rsidTr="00DB4822">
        <w:tc>
          <w:tcPr>
            <w:tcW w:w="9854" w:type="dxa"/>
          </w:tcPr>
          <w:p w:rsidR="00DB4822" w:rsidRPr="00DB4822" w:rsidRDefault="00DB4822" w:rsidP="004D7940">
            <w:pPr>
              <w:pStyle w:val="Konzulensek"/>
            </w:pPr>
            <w:r w:rsidRPr="00DB4822">
              <w:t>Dr. Anna Csekő</w:t>
            </w:r>
          </w:p>
          <w:p w:rsidR="00DB4822" w:rsidRDefault="00DB4822" w:rsidP="00E11062">
            <w:pPr>
              <w:pStyle w:val="Konzulensek"/>
            </w:pPr>
            <w:r w:rsidRPr="00DB4822">
              <w:t>resident, SE ÁOK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Fourier analysis's role in neonatal medicine</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amplitude-integrated EEG (aEEG) takes emphasized role in diagnosing HIE, judging the prognosis and deciding the necessity of beginning therapeutic hypothermia. The therapeutic hypothermia must be started before the 6th birth hour to maximize therapeutic benefits, therefore the accurate analysis is vital to increase the chance of survival and minimize the neurological complications. Previous studies found continuous physiological aEEG pattern in serious and moderately serious encephalopathia cases, in one case, muscular contamination was confirmed. Our research team studied the origin of physiological aEEG patterns in case of infants with serious and moderately serious encephalopathia.</w:t>
      </w:r>
      <w:r>
        <w:rPr>
          <w:color w:val="000000"/>
          <w:sz w:val="24"/>
          <w:szCs w:val="24"/>
        </w:rPr>
        <w:br/>
        <w:t xml:space="preserve">Between 2005. and 2010., 85 aEEG recordings were found before the 6th hour of birth. In seven cases, relaxant (NMDR) was given the infants to strain off muscular contamination. The recordings were processed with a program written under Matlab 2008b. By our hypothesis the components over 10 Hz in the recordings have muscular source, possible caused by shivering. The hypothesis is supported by the results of the applied Fourier analysis, the response to the NDMR and the hypothermic state of the infants.</w:t>
      </w:r>
      <w:r>
        <w:rPr>
          <w:color w:val="000000"/>
          <w:sz w:val="24"/>
          <w:szCs w:val="24"/>
        </w:rPr>
        <w:br/>
        <w:t xml:space="preserve">It is important to recognize false-positive aEEG recordings before cancelling the therapeutic hypothermia in case of normal aEEG pattern.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4213279">
    <w:multiLevelType w:val="hybridMultilevel"/>
    <w:lvl w:ilvl="0" w:tplc="3447717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4213279">
    <w:abstractNumId w:val="8421327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0195641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