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SOÓS</w:t>
            </w:r>
          </w:p>
          <w:p w:rsidR="00C275A3" w:rsidRDefault="00A96AEC" w:rsidP="00C275A3">
            <w:pPr>
              <w:pStyle w:val="Hallgatokepzes"/>
            </w:pPr>
            <w:r>
              <w:t>Internationales Management</w:t>
            </w:r>
            <w:r>
              <w:br/>
            </w:r>
            <w:r w:rsidR="00E77B23">
              <w:t>MA, 4. semester</w:t>
            </w:r>
          </w:p>
          <w:p w:rsidR="00C265CE" w:rsidRPr="009E5FF1" w:rsidRDefault="00E77B23" w:rsidP="00C275A3">
            <w:pPr>
              <w:pStyle w:val="Hallgatokepzes"/>
              <w:rPr>
                <w:b/>
                <w:caps/>
              </w:rPr>
            </w:pPr>
            <w:r>
              <w:t>Westungarische Universität</w:t>
            </w:r>
            <w:r w:rsidR="00C275A3">
              <w:br/>
            </w:r>
            <w:r w:rsidR="00DB4822">
              <w:t>Fakultät für Wirtschaftswissenschaften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Clemens C. Jäger</w:t>
            </w:r>
          </w:p>
          <w:p w:rsidR="00DB4822" w:rsidRDefault="00DB4822" w:rsidP="00E11062">
            <w:pPr>
              <w:pStyle w:val="Konzulensek"/>
            </w:pPr>
            <w:r w:rsidRPr="00DB4822">
              <w:t> Dekan für den Bereich BWL I, FOM,  FOM Hochschule für Ökonomie &amp; Management
gemeinnützige Gesellschaft mbH, 
Leimkugelstraße 6, 
45141 Essen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Emotionaler Aspekt von Change-Prozessen: Wie Führungskräfte Widerstände – mittels Mediation von Commitment Nutzen und Führungsstile – beeinflussen können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Change-Prozesse gehören in unseren Leben zur Alltag. Wettbewerbsintensität, Globalisation, das Streben nach wirtschaftlichen und gesellschaftlichen Entwicklung formt unsere Welt. Derzeit investieren viele multinationale Unternehmen in die ungarische Wirtschaft, dabei müssen Veränderungsprozesse durchgeführt werden.</w:t>
      </w:r>
    </w:p>
    <w:p>
      <w:pPr>
        <w:pBdr/>
        <w:spacing w:before="240" w:after="240" w:line="240" w:lineRule="auto"/>
        <w:ind w:left="0" w:right="0"/>
        <w:jc w:val="left"/>
      </w:pPr>
      <w:r>
        <w:rPr>
          <w:color w:val="000000"/>
          <w:sz w:val="24"/>
          <w:szCs w:val="24"/>
        </w:rPr>
        <w:t xml:space="preserve">In dieser Arbeit geht es um die Überprüfung der emotionalen Perspektive von Veränderungsprozessen, um Betroffene, die Bereitschaft zeigen Mitzumachen oder Widerstand leisten.</w:t>
      </w:r>
    </w:p>
    <w:p>
      <w:pPr>
        <w:pBdr/>
        <w:spacing w:before="240" w:after="240" w:line="240" w:lineRule="auto"/>
        <w:ind w:left="0" w:right="0"/>
        <w:jc w:val="left"/>
      </w:pPr>
      <w:r>
        <w:rPr>
          <w:color w:val="000000"/>
          <w:sz w:val="24"/>
          <w:szCs w:val="24"/>
        </w:rPr>
        <w:t xml:space="preserve">Für zukünftige Erweiterungen, Markteintritte, bzw. Realisierung von Entwicklungspotenzialen ist der Mensch, mit all seiner Facetten von Bedeutung.</w:t>
      </w:r>
    </w:p>
    <w:p>
      <w:pPr>
        <w:pBdr/>
        <w:spacing w:before="240" w:after="240" w:line="240" w:lineRule="auto"/>
        <w:ind w:left="0" w:right="0"/>
        <w:jc w:val="left"/>
      </w:pPr>
      <w:r>
        <w:rPr>
          <w:color w:val="000000"/>
          <w:sz w:val="24"/>
          <w:szCs w:val="24"/>
        </w:rPr>
        <w:t xml:space="preserve">Um Change Prozessen Erfolgreich zu gestalten und durchzuführen ist es daher nötig zu verstehen, wie die Betroffene sich mitten in Change-Prozessen fühlen. Diese Arbeit beschreibt in Folgenden einen Überblick über die Aktuelle Literatur über Change Management. Dabei werden unter anderen gut bewährte Theorien von Lewin, Dawson, Buchanan–Huczynski, Kotter und Doppler–Voigt detailliert beschrieben. Aus den Modellen der letzten zwei Autoren soll dann ein Funke überspringen, dass nicht allein eine betriebswirtschaftliche Kenngröße Erfolg definiert. Nach einer Modifikation der Untersuchung von Riccardo Peccei, Antonio Giangreco und Antonio Sebastiano soll schließlich eine empirische Antwort auf die Frage geliefert werden: wie verschiedene „emotionale, bzw. intrinsische“ Variablen (Commitment, Nutzen und Führungsstil) sich auf wie Change-Bereitschaft und Widerstand auswirken können und wie Unternehmen diese bei der langfristigen Planung zu berücksichtigen haben. So wird angestrebt eine Brücke zwischen den Theorien des Strategischen Managements und Organisational Behaviours zu errichten.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74770">
    <w:multiLevelType w:val="hybridMultilevel"/>
    <w:lvl w:ilvl="0" w:tplc="52422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74770">
    <w:abstractNumId w:val="45774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165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