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RENÁTÓ SZABÓ</w:t>
            </w:r>
          </w:p>
          <w:p w:rsidR="00C275A3" w:rsidRDefault="00A96AEC" w:rsidP="00C275A3">
            <w:pPr>
              <w:pStyle w:val="Hallgatokepzes"/>
            </w:pPr>
            <w:r>
              <w:t>History</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Bradács</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research of the English middle clergy in the 11th and 12th century, in the case of the archbishopric of York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titled as Research on English Middle Clergy in the 11th and 12th century in the case of the Archbishopric of York. I have set up several objectives within my essay. First of all I wanted to present an expressive guide of how the contemporary archbishopric of York looked like, furthermore, to display what duties and political, economic power did the officials of the middle clergy wield. Secondly, giving a clear picture of how the English middle clergy had experienced the Normann Conquest and how the English native society was handled in the meantime. Namely, the central topic of my essay is to seek that in what degree could the English native soceity represent itself in the prebendal body and archdeaconry in the outcoming 140 years after Hastings.</w:t>
      </w:r>
    </w:p>
    <w:p>
      <w:pPr>
        <w:widowControl w:val="on"/>
        <w:pBdr/>
        <w:spacing w:before="240" w:after="240" w:line="240" w:lineRule="auto"/>
        <w:ind w:left="0" w:right="0"/>
        <w:jc w:val="left"/>
      </w:pPr>
      <w:r>
        <w:rPr>
          <w:color w:val="000000"/>
          <w:sz w:val="24"/>
          <w:szCs w:val="24"/>
        </w:rPr>
        <w:t xml:space="preserve">So, in a result, I have divided the research of the English middle clergy into three main perspectives. One is a social historical perspective, during which I have determined the origin of these officials by examining their names in charters. The other is an ecnomic historical perspective in which I drew conclusion by the use of identifiable prebends. The last one is a political historical perspective, in which I characterized the political efforts of the officials above mentioned.</w:t>
      </w:r>
    </w:p>
    <w:p>
      <w:pPr>
        <w:widowControl w:val="on"/>
        <w:pBdr/>
        <w:spacing w:before="240" w:after="240" w:line="240" w:lineRule="auto"/>
        <w:ind w:left="0" w:right="0"/>
        <w:jc w:val="left"/>
      </w:pPr>
      <w:r>
        <w:rPr>
          <w:color w:val="000000"/>
          <w:sz w:val="24"/>
          <w:szCs w:val="24"/>
        </w:rPr>
        <w:t xml:space="preserve">Final conclusion is that follows: in the early 12th century there existed a significant Anglo-Saxon society in the diocese of the archbishopric of York, which consisted principally of mere canons. Economic historical conclusion is that this Anglo-Saxon society held various prebends, meaning that they played an important role of the economic role of the church life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82377">
    <w:multiLevelType w:val="hybridMultilevel"/>
    <w:lvl w:ilvl="0" w:tplc="52342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82377">
    <w:abstractNumId w:val="46782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773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