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SZTANCS</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Miru</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Decline of a Utopia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is to analyse 3 topics of Oszkár Jászi’s policy towards the nationalities: the minimal program, the United States of the Danube, and the Switzerland of the East. The focal point of my essay is his central European plan, as this is a most exciting and topical issue at all times due to the burden of national minorities, a problem unsolved even nowadays.</w:t>
      </w:r>
      <w:r>
        <w:rPr>
          <w:color w:val="000000"/>
          <w:sz w:val="24"/>
          <w:szCs w:val="24"/>
        </w:rPr>
        <w:br/>
        <w:t xml:space="preserve">After a short introduction and setting up my hypotheses, in the first part of my essay I try to depict the structure and relations of nationalities within the Austro-Hungarian Monarchy with special emphasis on their distribution in Hungary. I wish to draw a sketch of nationality rights by presenting the 1868 Hungarian nationality law. Through the interpretation of this law I wish to come to its critics incuding Oszkár Jászi, the leading figure of civil radicals. Furthermore, I try to answer the question how he came to be involved in nationality issues and what he meant by his ’minimal program’.</w:t>
      </w:r>
      <w:r>
        <w:rPr>
          <w:color w:val="000000"/>
          <w:sz w:val="24"/>
          <w:szCs w:val="24"/>
        </w:rPr>
        <w:br/>
        <w:t xml:space="preserve">In the following part I introduce the focal point of my research. I wish to introduce the United States of the Danube in the light of conditions typical for the era. I give a short explanation of Friedrich Naumann’s plan as a basis for comparison with that of Oszkár Jászi. In the construction and mechanism of the federation of states I have found similarities between Naumann’s plan and the dualist structure. I also write about what arguments he used to make the Austrians stand on his side.</w:t>
      </w:r>
      <w:r>
        <w:rPr>
          <w:color w:val="000000"/>
          <w:sz w:val="24"/>
          <w:szCs w:val="24"/>
        </w:rPr>
        <w:br/>
        <w:t xml:space="preserve">In the autumn of 1918 the Switzerland of the East was born as a result of negotiations with the nationalities. After introducing the cantons I give reasons why the plan was unacceptable from the nationalities’ side.</w:t>
      </w:r>
      <w:r>
        <w:rPr>
          <w:color w:val="000000"/>
          <w:sz w:val="24"/>
          <w:szCs w:val="24"/>
        </w:rPr>
        <w:br/>
        <w:t xml:space="preserve">As a result of my research I can say that Oszkár Jászi’s ideas for the solution of nationality problems appeared utopian at the time of their birth. My theory is justified by the fact that by 1918 nationality leaders had rejected those kinds of solutions and their aim had become to establish an own independent national existence. After the World War the era was not inspired by the idea of integrity, but by the idea of an independent state. The Switzerland of the East could not have been established in 1918 as the nationalities strove to disintegrate the historical Hungarian state. Nowadays, in the period of integration, nationality- minority problems and their unity in the Carpatian basin could be accomplished through Oszkár Jászi’s idea of the Switzerland of the East.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4253">
    <w:multiLevelType w:val="hybridMultilevel"/>
    <w:lvl w:ilvl="0" w:tplc="17419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4253">
    <w:abstractNumId w:val="23814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956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